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40" w:lineRule="exact"/>
        <w:jc w:val="both"/>
        <w:rPr>
          <w:rFonts w:hint="eastAsia" w:ascii="宋体" w:hAnsi="宋体" w:eastAsia="宋体" w:cs="Arial"/>
          <w:color w:val="000000" w:themeColor="text1"/>
          <w:kern w:val="0"/>
          <w:sz w:val="24"/>
          <w:szCs w:val="24"/>
          <w14:textFill>
            <w14:solidFill>
              <w14:schemeClr w14:val="tx1"/>
            </w14:solidFill>
          </w14:textFill>
        </w:rPr>
      </w:pPr>
      <w:bookmarkStart w:id="5" w:name="_GoBack"/>
      <w:bookmarkEnd w:id="5"/>
    </w:p>
    <w:p>
      <w:pPr>
        <w:widowControl/>
        <w:spacing w:before="100" w:beforeAutospacing="1" w:after="100" w:afterAutospacing="1" w:line="440" w:lineRule="exact"/>
        <w:jc w:val="both"/>
        <w:rPr>
          <w:rFonts w:hint="eastAsia" w:ascii="宋体" w:hAnsi="宋体"/>
          <w:color w:val="000000" w:themeColor="text1"/>
          <w:sz w:val="24"/>
          <w:szCs w:val="24"/>
          <w14:textFill>
            <w14:solidFill>
              <w14:schemeClr w14:val="tx1"/>
            </w14:solidFill>
          </w14:textFill>
        </w:rPr>
      </w:pPr>
      <w:r>
        <w:rPr>
          <w:rFonts w:hint="eastAsia" w:ascii="宋体" w:hAnsi="宋体" w:eastAsia="宋体" w:cs="Arial"/>
          <w:color w:val="000000" w:themeColor="text1"/>
          <w:kern w:val="0"/>
          <w:sz w:val="24"/>
          <w:szCs w:val="24"/>
          <w:lang w:eastAsia="zh-CN"/>
          <w14:textFill>
            <w14:solidFill>
              <w14:schemeClr w14:val="tx1"/>
            </w14:solidFill>
          </w14:textFill>
        </w:rPr>
        <w:t>附件</w:t>
      </w:r>
      <w:r>
        <w:rPr>
          <w:rFonts w:hint="eastAsia" w:ascii="宋体" w:hAnsi="宋体" w:eastAsia="宋体" w:cs="Arial"/>
          <w:color w:val="000000" w:themeColor="text1"/>
          <w:kern w:val="0"/>
          <w:sz w:val="24"/>
          <w:szCs w:val="24"/>
          <w:lang w:val="en-US" w:eastAsia="zh-CN"/>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昆明理工大学附属</w:t>
      </w:r>
      <w:r>
        <w:rPr>
          <w:rFonts w:hint="eastAsia" w:ascii="宋体" w:hAnsi="宋体"/>
          <w:color w:val="000000" w:themeColor="text1"/>
          <w:sz w:val="24"/>
          <w:szCs w:val="24"/>
          <w:lang w:eastAsia="zh-CN"/>
          <w14:textFill>
            <w14:solidFill>
              <w14:schemeClr w14:val="tx1"/>
            </w14:solidFill>
          </w14:textFill>
        </w:rPr>
        <w:t>呈贡幼儿园阻车升降柱</w:t>
      </w:r>
      <w:r>
        <w:rPr>
          <w:rFonts w:hint="eastAsia" w:ascii="宋体" w:hAnsi="宋体"/>
          <w:color w:val="000000" w:themeColor="text1"/>
          <w:sz w:val="24"/>
          <w:szCs w:val="24"/>
          <w:lang w:val="en-US" w:eastAsia="zh-CN"/>
          <w14:textFill>
            <w14:solidFill>
              <w14:schemeClr w14:val="tx1"/>
            </w14:solidFill>
          </w14:textFill>
        </w:rPr>
        <w:t>项目</w:t>
      </w:r>
      <w:r>
        <w:rPr>
          <w:rFonts w:hint="eastAsia"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kg</w:t>
      </w:r>
      <w:r>
        <w:rPr>
          <w:rFonts w:hint="eastAsia" w:ascii="宋体" w:hAnsi="宋体"/>
          <w:color w:val="000000" w:themeColor="text1"/>
          <w:sz w:val="24"/>
          <w:szCs w:val="24"/>
          <w:lang w:val="en-US" w:eastAsia="zh-CN"/>
          <w14:textFill>
            <w14:solidFill>
              <w14:schemeClr w14:val="tx1"/>
            </w14:solidFill>
          </w14:textFill>
        </w:rPr>
        <w:t>yj004</w:t>
      </w:r>
      <w:r>
        <w:rPr>
          <w:rFonts w:hint="eastAsia" w:ascii="宋体" w:hAnsi="宋体"/>
          <w:color w:val="000000" w:themeColor="text1"/>
          <w:sz w:val="24"/>
          <w:szCs w:val="24"/>
          <w14:textFill>
            <w14:solidFill>
              <w14:schemeClr w14:val="tx1"/>
            </w14:solidFill>
          </w14:textFill>
        </w:rPr>
        <w:t>）询价文件</w:t>
      </w:r>
    </w:p>
    <w:p>
      <w:pPr>
        <w:jc w:val="center"/>
        <w:rPr>
          <w:rFonts w:hint="eastAsia" w:asciiTheme="minorEastAsia" w:hAnsiTheme="minorEastAsia"/>
          <w:b/>
          <w:color w:val="000000" w:themeColor="text1"/>
          <w:sz w:val="28"/>
          <w:szCs w:val="28"/>
          <w:lang w:val="en-US" w:eastAsia="zh-CN"/>
          <w14:textFill>
            <w14:solidFill>
              <w14:schemeClr w14:val="tx1"/>
            </w14:solidFill>
          </w14:textFill>
        </w:rPr>
      </w:pPr>
      <w:r>
        <w:rPr>
          <w:rFonts w:hint="eastAsia" w:asciiTheme="minorEastAsia" w:hAnsiTheme="minorEastAsia"/>
          <w:b/>
          <w:color w:val="000000" w:themeColor="text1"/>
          <w:sz w:val="28"/>
          <w:szCs w:val="28"/>
          <w:lang w:val="en-US" w:eastAsia="zh-CN"/>
          <w14:textFill>
            <w14:solidFill>
              <w14:schemeClr w14:val="tx1"/>
            </w14:solidFill>
          </w14:textFill>
        </w:rPr>
        <w:t>昆明理工大学附属呈贡幼儿园阻车升降柱项目询价内容及要求</w:t>
      </w:r>
    </w:p>
    <w:p>
      <w:pPr>
        <w:pStyle w:val="2"/>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一、基本情况</w:t>
      </w:r>
    </w:p>
    <w:p>
      <w:pPr>
        <w:pStyle w:val="2"/>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昆明理工大学附属呈贡幼儿园阻车升降柱设于1个路口，通道宽度7米，设置1套控制系统 和 4根全自动升降柱。</w:t>
      </w:r>
    </w:p>
    <w:p>
      <w:pPr>
        <w:pStyle w:val="2"/>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二、该设施设备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最短施工期是</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日历天；使用周期是</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年，质保年限为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服务方承诺使用期间，定期进行免费维修和软件升级，至少每6个月免费维修和软件升级1次。</w:t>
      </w:r>
      <w:bookmarkStart w:id="0" w:name="_Toc8123093"/>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发生设备、配件故障或损坏时，服务方需在2小时内进行响应，小故障8小时内维修完成，大故障48小时内维修完成，保证正常使用。</w:t>
      </w:r>
      <w:bookmarkEnd w:id="0"/>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技术要求</w:t>
      </w:r>
    </w:p>
    <w:p>
      <w:pPr>
        <w:pStyle w:val="4"/>
        <w:rPr>
          <w:rFonts w:hint="eastAsia" w:ascii="宋体" w:hAnsi="宋体" w:eastAsia="宋体" w:cs="宋体"/>
          <w:color w:val="000000" w:themeColor="text1"/>
          <w:sz w:val="24"/>
          <w:szCs w:val="24"/>
          <w14:textFill>
            <w14:solidFill>
              <w14:schemeClr w14:val="tx1"/>
            </w14:solidFill>
          </w14:textFill>
        </w:rPr>
      </w:pPr>
      <w:bookmarkStart w:id="1" w:name="_Toc32000"/>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升降柱参数</w:t>
      </w:r>
      <w:bookmarkEnd w:id="1"/>
    </w:p>
    <w:tbl>
      <w:tblPr>
        <w:tblStyle w:val="8"/>
        <w:tblW w:w="8288" w:type="dxa"/>
        <w:tblInd w:w="0" w:type="dxa"/>
        <w:tblLayout w:type="fixed"/>
        <w:tblCellMar>
          <w:top w:w="15" w:type="dxa"/>
          <w:left w:w="15" w:type="dxa"/>
          <w:bottom w:w="15" w:type="dxa"/>
          <w:right w:w="15" w:type="dxa"/>
        </w:tblCellMar>
      </w:tblPr>
      <w:tblGrid>
        <w:gridCol w:w="768"/>
        <w:gridCol w:w="880"/>
        <w:gridCol w:w="4800"/>
        <w:gridCol w:w="1840"/>
      </w:tblGrid>
      <w:tr>
        <w:tblPrEx>
          <w:tblCellMar>
            <w:top w:w="15" w:type="dxa"/>
            <w:left w:w="15" w:type="dxa"/>
            <w:bottom w:w="15" w:type="dxa"/>
            <w:right w:w="15" w:type="dxa"/>
          </w:tblCellMar>
        </w:tblPrEx>
        <w:trPr>
          <w:trHeight w:val="46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配件</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材质</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技术参数</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b/>
                <w:color w:val="000000" w:themeColor="text1"/>
                <w:sz w:val="24"/>
                <w:lang w:eastAsia="zh-CN"/>
                <w14:textFill>
                  <w14:solidFill>
                    <w14:schemeClr w14:val="tx1"/>
                  </w14:solidFill>
                </w14:textFill>
              </w:rPr>
            </w:pPr>
            <w:r>
              <w:rPr>
                <w:rFonts w:hint="eastAsia" w:hAnsi="宋体"/>
                <w:b/>
                <w:color w:val="000000" w:themeColor="text1"/>
                <w:sz w:val="24"/>
                <w:lang w:eastAsia="zh-CN"/>
                <w14:textFill>
                  <w14:solidFill>
                    <w14:schemeClr w14:val="tx1"/>
                  </w14:solidFill>
                </w14:textFill>
              </w:rPr>
              <w:t>价格</w:t>
            </w:r>
          </w:p>
        </w:tc>
      </w:tr>
      <w:tr>
        <w:tblPrEx>
          <w:tblCellMar>
            <w:top w:w="15" w:type="dxa"/>
            <w:left w:w="15" w:type="dxa"/>
            <w:bottom w:w="15" w:type="dxa"/>
            <w:right w:w="15" w:type="dxa"/>
          </w:tblCellMar>
        </w:tblPrEx>
        <w:trPr>
          <w:trHeight w:val="363"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不锈钢柱身</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SUS304不锈钢</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壁厚(mm)：6</w:t>
            </w:r>
          </w:p>
        </w:tc>
        <w:tc>
          <w:tcPr>
            <w:tcW w:w="184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直径(mm)：≥217</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升起高度(mm)：600</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反光膜凹槽数量：2条</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反光膜凹槽宽度（mm）：50</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表面处理：240目拉丝  </w:t>
            </w:r>
          </w:p>
        </w:tc>
        <w:tc>
          <w:tcPr>
            <w:tcW w:w="1840"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反光膜</w:t>
            </w:r>
          </w:p>
        </w:tc>
        <w:tc>
          <w:tcPr>
            <w:tcW w:w="88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3M反光膜</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高度(mm)：50</w:t>
            </w:r>
          </w:p>
        </w:tc>
        <w:tc>
          <w:tcPr>
            <w:tcW w:w="184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880"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单条金黄色，升降过程禁止摩擦</w:t>
            </w:r>
          </w:p>
        </w:tc>
        <w:tc>
          <w:tcPr>
            <w:tcW w:w="1840"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警示灯带</w:t>
            </w:r>
          </w:p>
        </w:tc>
        <w:tc>
          <w:tcPr>
            <w:tcW w:w="8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LED</w:t>
            </w:r>
          </w:p>
        </w:tc>
        <w:tc>
          <w:tcPr>
            <w:tcW w:w="4800"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内嵌于柱体反光膜凹槽内，外观不可见</w:t>
            </w:r>
          </w:p>
        </w:tc>
        <w:tc>
          <w:tcPr>
            <w:tcW w:w="1840" w:type="dxa"/>
            <w:tcBorders>
              <w:top w:val="single" w:color="000000" w:sz="4" w:space="0"/>
              <w:left w:val="single" w:color="auto"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电压（V）：12</w:t>
            </w:r>
          </w:p>
        </w:tc>
        <w:tc>
          <w:tcPr>
            <w:tcW w:w="1840" w:type="dxa"/>
            <w:tcBorders>
              <w:left w:val="single" w:color="auto"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定时控制开启/关闭</w:t>
            </w:r>
          </w:p>
        </w:tc>
        <w:tc>
          <w:tcPr>
            <w:tcW w:w="1840" w:type="dxa"/>
            <w:tcBorders>
              <w:left w:val="single" w:color="auto"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柱身盖板</w:t>
            </w:r>
          </w:p>
        </w:tc>
        <w:tc>
          <w:tcPr>
            <w:tcW w:w="880"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铝合金</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直径(mm)：217</w:t>
            </w:r>
          </w:p>
        </w:tc>
        <w:tc>
          <w:tcPr>
            <w:tcW w:w="1840" w:type="dxa"/>
            <w:tcBorders>
              <w:top w:val="single" w:color="000000" w:sz="4" w:space="0"/>
              <w:left w:val="single" w:color="000000" w:sz="4" w:space="0"/>
              <w:right w:val="single" w:color="000000" w:sz="4" w:space="0"/>
            </w:tcBorders>
            <w:noWrap w:val="0"/>
            <w:vAlign w:val="top"/>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厚度（mm</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：20</w:t>
            </w:r>
          </w:p>
        </w:tc>
        <w:tc>
          <w:tcPr>
            <w:tcW w:w="1840" w:type="dxa"/>
            <w:tcBorders>
              <w:left w:val="single" w:color="000000" w:sz="4" w:space="0"/>
              <w:right w:val="single" w:color="000000" w:sz="4" w:space="0"/>
            </w:tcBorders>
            <w:noWrap w:val="0"/>
            <w:vAlign w:val="top"/>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防滑图案：精雕</w:t>
            </w:r>
          </w:p>
        </w:tc>
        <w:tc>
          <w:tcPr>
            <w:tcW w:w="1840" w:type="dxa"/>
            <w:tcBorders>
              <w:left w:val="single" w:color="000000" w:sz="4" w:space="0"/>
              <w:bottom w:val="single" w:color="000000" w:sz="4" w:space="0"/>
              <w:right w:val="single" w:color="000000" w:sz="4" w:space="0"/>
            </w:tcBorders>
            <w:noWrap w:val="0"/>
            <w:vAlign w:val="top"/>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定位法兰</w:t>
            </w:r>
          </w:p>
        </w:tc>
        <w:tc>
          <w:tcPr>
            <w:tcW w:w="88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Q235工业级高碳钢</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厚度（mm）：8</w:t>
            </w:r>
          </w:p>
        </w:tc>
        <w:tc>
          <w:tcPr>
            <w:tcW w:w="184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宽度（mm）：80</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表面处理：热镀锌</w:t>
            </w:r>
          </w:p>
        </w:tc>
        <w:tc>
          <w:tcPr>
            <w:tcW w:w="1840"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导向环</w:t>
            </w:r>
          </w:p>
        </w:tc>
        <w:tc>
          <w:tcPr>
            <w:tcW w:w="88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纯尼龙</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总长（mm）：20（上下2个）</w:t>
            </w:r>
          </w:p>
        </w:tc>
        <w:tc>
          <w:tcPr>
            <w:tcW w:w="184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内直径(mm)：220</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外直径（mm）：340</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上边缘与地面平齐</w:t>
            </w:r>
          </w:p>
        </w:tc>
        <w:tc>
          <w:tcPr>
            <w:tcW w:w="1840"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地面面板</w:t>
            </w:r>
          </w:p>
        </w:tc>
        <w:tc>
          <w:tcPr>
            <w:tcW w:w="88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SUS304不锈钢</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厚度（mm</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：10</w:t>
            </w:r>
          </w:p>
        </w:tc>
        <w:tc>
          <w:tcPr>
            <w:tcW w:w="184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外直径(mm)：420</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颜色：不锈钢本色，拉丝抛光</w:t>
            </w:r>
          </w:p>
        </w:tc>
        <w:tc>
          <w:tcPr>
            <w:tcW w:w="1840"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限位法兰</w:t>
            </w:r>
          </w:p>
        </w:tc>
        <w:tc>
          <w:tcPr>
            <w:tcW w:w="88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Q235工业级高碳钢</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厚度（mm</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：8</w:t>
            </w:r>
          </w:p>
        </w:tc>
        <w:tc>
          <w:tcPr>
            <w:tcW w:w="184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内直径（mm）：219</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外直径(mm)：300</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限位孔数量：4个</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限位孔直径（mm）：30</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表面处理：热镀锌</w:t>
            </w:r>
          </w:p>
        </w:tc>
        <w:tc>
          <w:tcPr>
            <w:tcW w:w="1840"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限位尼龙圈</w:t>
            </w:r>
          </w:p>
        </w:tc>
        <w:tc>
          <w:tcPr>
            <w:tcW w:w="88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纯尼龙</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长度（mm）：30</w:t>
            </w:r>
          </w:p>
        </w:tc>
        <w:tc>
          <w:tcPr>
            <w:tcW w:w="184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直径（mm）：30</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结构：卡套结构，带螺纹</w:t>
            </w:r>
          </w:p>
        </w:tc>
        <w:tc>
          <w:tcPr>
            <w:tcW w:w="1840"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排水法兰</w:t>
            </w:r>
          </w:p>
        </w:tc>
        <w:tc>
          <w:tcPr>
            <w:tcW w:w="88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Q235工业级高碳钢</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厚度（mm</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：5</w:t>
            </w:r>
          </w:p>
        </w:tc>
        <w:tc>
          <w:tcPr>
            <w:tcW w:w="184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直径(mm)：325</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排水孔数量：1个</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排水孔直径（mm）：160</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表面处理：热镀锌</w:t>
            </w:r>
          </w:p>
        </w:tc>
        <w:tc>
          <w:tcPr>
            <w:tcW w:w="1840"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电机调节法兰</w:t>
            </w:r>
          </w:p>
        </w:tc>
        <w:tc>
          <w:tcPr>
            <w:tcW w:w="88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Q235工业级高碳钢</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厚度（mm</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：8</w:t>
            </w:r>
          </w:p>
        </w:tc>
        <w:tc>
          <w:tcPr>
            <w:tcW w:w="184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直径(mm)：295</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表面处理：热镀锌</w:t>
            </w:r>
          </w:p>
        </w:tc>
        <w:tc>
          <w:tcPr>
            <w:tcW w:w="1840"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restar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导向轨道</w:t>
            </w:r>
          </w:p>
        </w:tc>
        <w:tc>
          <w:tcPr>
            <w:tcW w:w="880" w:type="dxa"/>
            <w:vMerge w:val="restar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SUS304不锈钢</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直径（mm）：16</w:t>
            </w:r>
          </w:p>
        </w:tc>
        <w:tc>
          <w:tcPr>
            <w:tcW w:w="184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880"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长度（mm）：1100</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880"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表面处理：不锈钢本色，亮光</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880" w:type="dxa"/>
            <w:vMerge w:val="continue"/>
            <w:tcBorders>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数量：4根</w:t>
            </w:r>
          </w:p>
        </w:tc>
        <w:tc>
          <w:tcPr>
            <w:tcW w:w="1840"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预埋桶法兰</w:t>
            </w:r>
          </w:p>
        </w:tc>
        <w:tc>
          <w:tcPr>
            <w:tcW w:w="88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Q235工业级高碳钢</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厚度（mm）：8</w:t>
            </w:r>
          </w:p>
        </w:tc>
        <w:tc>
          <w:tcPr>
            <w:tcW w:w="184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直径（mm）：420</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7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表面处理：热镀锌</w:t>
            </w:r>
          </w:p>
        </w:tc>
        <w:tc>
          <w:tcPr>
            <w:tcW w:w="1840"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预埋桶</w:t>
            </w:r>
          </w:p>
        </w:tc>
        <w:tc>
          <w:tcPr>
            <w:tcW w:w="88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Q235工业级高碳钢</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厚度（mm</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：3</w:t>
            </w:r>
          </w:p>
        </w:tc>
        <w:tc>
          <w:tcPr>
            <w:tcW w:w="184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直径(mm)：325</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高度(mm)：1130</w:t>
            </w:r>
          </w:p>
        </w:tc>
        <w:tc>
          <w:tcPr>
            <w:tcW w:w="1840"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7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88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表面处理：热镀锌</w:t>
            </w:r>
          </w:p>
        </w:tc>
        <w:tc>
          <w:tcPr>
            <w:tcW w:w="1840"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bl>
    <w:p>
      <w:pPr>
        <w:pStyle w:val="4"/>
        <w:numPr>
          <w:ilvl w:val="0"/>
          <w:numId w:val="0"/>
        </w:numPr>
        <w:spacing w:before="0" w:after="0"/>
        <w:ind w:leftChars="0"/>
        <w:rPr>
          <w:rFonts w:hint="eastAsia" w:ascii="宋体" w:hAnsi="宋体" w:eastAsia="宋体" w:cs="宋体"/>
          <w:color w:val="000000" w:themeColor="text1"/>
          <w:sz w:val="24"/>
          <w:szCs w:val="24"/>
          <w14:textFill>
            <w14:solidFill>
              <w14:schemeClr w14:val="tx1"/>
            </w14:solidFill>
          </w14:textFill>
        </w:rPr>
      </w:pPr>
      <w:bookmarkStart w:id="2" w:name="_Toc22678"/>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升降柱机芯参数</w:t>
      </w:r>
      <w:bookmarkEnd w:id="2"/>
    </w:p>
    <w:tbl>
      <w:tblPr>
        <w:tblStyle w:val="8"/>
        <w:tblW w:w="8304" w:type="dxa"/>
        <w:tblInd w:w="0" w:type="dxa"/>
        <w:tblLayout w:type="fixed"/>
        <w:tblCellMar>
          <w:top w:w="15" w:type="dxa"/>
          <w:left w:w="15" w:type="dxa"/>
          <w:bottom w:w="15" w:type="dxa"/>
          <w:right w:w="15" w:type="dxa"/>
        </w:tblCellMar>
      </w:tblPr>
      <w:tblGrid>
        <w:gridCol w:w="832"/>
        <w:gridCol w:w="1536"/>
        <w:gridCol w:w="4048"/>
        <w:gridCol w:w="1888"/>
      </w:tblGrid>
      <w:tr>
        <w:tblPrEx>
          <w:tblCellMar>
            <w:top w:w="15" w:type="dxa"/>
            <w:left w:w="15" w:type="dxa"/>
            <w:bottom w:w="15" w:type="dxa"/>
            <w:right w:w="15"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配件</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结构件材质</w:t>
            </w:r>
          </w:p>
        </w:tc>
        <w:tc>
          <w:tcPr>
            <w:tcW w:w="40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技术参数</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b/>
                <w:color w:val="000000" w:themeColor="text1"/>
                <w:sz w:val="24"/>
                <w:lang w:eastAsia="zh-CN"/>
                <w14:textFill>
                  <w14:solidFill>
                    <w14:schemeClr w14:val="tx1"/>
                  </w14:solidFill>
                </w14:textFill>
              </w:rPr>
            </w:pPr>
            <w:r>
              <w:rPr>
                <w:rFonts w:hint="eastAsia" w:hAnsi="宋体"/>
                <w:b/>
                <w:color w:val="000000" w:themeColor="text1"/>
                <w:sz w:val="24"/>
                <w:lang w:eastAsia="zh-CN"/>
                <w14:textFill>
                  <w14:solidFill>
                    <w14:schemeClr w14:val="tx1"/>
                  </w14:solidFill>
                </w14:textFill>
              </w:rPr>
              <w:t>价格</w:t>
            </w:r>
          </w:p>
        </w:tc>
      </w:tr>
      <w:tr>
        <w:tblPrEx>
          <w:tblCellMar>
            <w:top w:w="15" w:type="dxa"/>
            <w:left w:w="15" w:type="dxa"/>
            <w:bottom w:w="15" w:type="dxa"/>
            <w:right w:w="15" w:type="dxa"/>
          </w:tblCellMar>
        </w:tblPrEx>
        <w:trPr>
          <w:trHeight w:val="363" w:hRule="atLeast"/>
        </w:trPr>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一体式机芯</w:t>
            </w:r>
          </w:p>
        </w:tc>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Q235工业级高碳钢</w:t>
            </w:r>
          </w:p>
        </w:tc>
        <w:tc>
          <w:tcPr>
            <w:tcW w:w="40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总高度（mm）：1100</w:t>
            </w:r>
          </w:p>
        </w:tc>
        <w:tc>
          <w:tcPr>
            <w:tcW w:w="1888"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0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行程（mm）：600</w:t>
            </w:r>
          </w:p>
        </w:tc>
        <w:tc>
          <w:tcPr>
            <w:tcW w:w="1888"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0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电压（V）：220V</w:t>
            </w:r>
          </w:p>
        </w:tc>
        <w:tc>
          <w:tcPr>
            <w:tcW w:w="1888"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0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功率（W）：300W</w:t>
            </w:r>
          </w:p>
        </w:tc>
        <w:tc>
          <w:tcPr>
            <w:tcW w:w="1888"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0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升降时间（S）：6S</w:t>
            </w:r>
          </w:p>
        </w:tc>
        <w:tc>
          <w:tcPr>
            <w:tcW w:w="1888"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0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防护等级：IP68</w:t>
            </w:r>
          </w:p>
        </w:tc>
        <w:tc>
          <w:tcPr>
            <w:tcW w:w="1888" w:type="dxa"/>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40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工作温度（℃）：-30至55</w:t>
            </w:r>
          </w:p>
        </w:tc>
        <w:tc>
          <w:tcPr>
            <w:tcW w:w="1888"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bl>
    <w:p>
      <w:pPr>
        <w:pStyle w:val="4"/>
        <w:numPr>
          <w:ilvl w:val="0"/>
          <w:numId w:val="0"/>
        </w:numPr>
        <w:ind w:leftChars="0"/>
        <w:rPr>
          <w:rFonts w:hint="eastAsia" w:ascii="宋体" w:hAnsi="宋体" w:eastAsia="宋体" w:cs="宋体"/>
          <w:color w:val="000000" w:themeColor="text1"/>
          <w:sz w:val="24"/>
          <w:szCs w:val="24"/>
          <w14:textFill>
            <w14:solidFill>
              <w14:schemeClr w14:val="tx1"/>
            </w14:solidFill>
          </w14:textFill>
        </w:rPr>
      </w:pPr>
      <w:bookmarkStart w:id="3" w:name="_Toc16901"/>
      <w:r>
        <w:rPr>
          <w:rFonts w:hint="eastAsia"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升降柱控制系统参数</w:t>
      </w:r>
      <w:bookmarkEnd w:id="3"/>
    </w:p>
    <w:tbl>
      <w:tblPr>
        <w:tblStyle w:val="8"/>
        <w:tblW w:w="8288" w:type="dxa"/>
        <w:tblInd w:w="0" w:type="dxa"/>
        <w:tblLayout w:type="fixed"/>
        <w:tblCellMar>
          <w:top w:w="15" w:type="dxa"/>
          <w:left w:w="15" w:type="dxa"/>
          <w:bottom w:w="15" w:type="dxa"/>
          <w:right w:w="15" w:type="dxa"/>
        </w:tblCellMar>
      </w:tblPr>
      <w:tblGrid>
        <w:gridCol w:w="1088"/>
        <w:gridCol w:w="1600"/>
        <w:gridCol w:w="3744"/>
        <w:gridCol w:w="1856"/>
      </w:tblGrid>
      <w:tr>
        <w:tblPrEx>
          <w:tblCellMar>
            <w:top w:w="15" w:type="dxa"/>
            <w:left w:w="15" w:type="dxa"/>
            <w:bottom w:w="15" w:type="dxa"/>
            <w:right w:w="15" w:type="dxa"/>
          </w:tblCellMar>
        </w:tblPrEx>
        <w:trPr>
          <w:trHeight w:val="460" w:hRule="atLeast"/>
        </w:trPr>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配件</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材质</w:t>
            </w:r>
          </w:p>
        </w:tc>
        <w:tc>
          <w:tcPr>
            <w:tcW w:w="3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技术参数</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eastAsiaTheme="minorEastAsia"/>
                <w:b/>
                <w:color w:val="000000" w:themeColor="text1"/>
                <w:sz w:val="24"/>
                <w:lang w:eastAsia="zh-CN"/>
                <w14:textFill>
                  <w14:solidFill>
                    <w14:schemeClr w14:val="tx1"/>
                  </w14:solidFill>
                </w14:textFill>
              </w:rPr>
            </w:pPr>
            <w:r>
              <w:rPr>
                <w:rFonts w:hint="eastAsia" w:hAnsi="宋体"/>
                <w:b/>
                <w:color w:val="000000" w:themeColor="text1"/>
                <w:sz w:val="24"/>
                <w:lang w:eastAsia="zh-CN"/>
                <w14:textFill>
                  <w14:solidFill>
                    <w14:schemeClr w14:val="tx1"/>
                  </w14:solidFill>
                </w14:textFill>
              </w:rPr>
              <w:t>价格</w:t>
            </w:r>
          </w:p>
        </w:tc>
      </w:tr>
      <w:tr>
        <w:tblPrEx>
          <w:tblCellMar>
            <w:top w:w="15" w:type="dxa"/>
            <w:left w:w="15" w:type="dxa"/>
            <w:bottom w:w="15" w:type="dxa"/>
            <w:right w:w="15" w:type="dxa"/>
          </w:tblCellMar>
        </w:tblPrEx>
        <w:trPr>
          <w:trHeight w:val="363" w:hRule="atLeast"/>
        </w:trPr>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控制柜</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Q235高碳钢</w:t>
            </w:r>
          </w:p>
        </w:tc>
        <w:tc>
          <w:tcPr>
            <w:tcW w:w="3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500*425*100</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108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遥控器</w:t>
            </w:r>
          </w:p>
        </w:tc>
        <w:tc>
          <w:tcPr>
            <w:tcW w:w="160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复合聚酯</w:t>
            </w:r>
          </w:p>
        </w:tc>
        <w:tc>
          <w:tcPr>
            <w:tcW w:w="3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遥控距离：50m（空旷）</w:t>
            </w:r>
          </w:p>
        </w:tc>
        <w:tc>
          <w:tcPr>
            <w:tcW w:w="1856"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1088"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1600"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olor w:val="000000" w:themeColor="text1"/>
                <w:sz w:val="24"/>
                <w14:textFill>
                  <w14:solidFill>
                    <w14:schemeClr w14:val="tx1"/>
                  </w14:solidFill>
                </w14:textFill>
              </w:rPr>
            </w:pPr>
          </w:p>
        </w:tc>
        <w:tc>
          <w:tcPr>
            <w:tcW w:w="3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开、关、急停三键控制</w:t>
            </w:r>
          </w:p>
        </w:tc>
        <w:tc>
          <w:tcPr>
            <w:tcW w:w="1856" w:type="dxa"/>
            <w:vMerge w:val="continue"/>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1088" w:type="dxa"/>
            <w:vMerge w:val="continue"/>
            <w:tcBorders>
              <w:left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1600" w:type="dxa"/>
            <w:vMerge w:val="continue"/>
            <w:tcBorders>
              <w:left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3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标配2套</w:t>
            </w:r>
          </w:p>
        </w:tc>
        <w:tc>
          <w:tcPr>
            <w:tcW w:w="1856"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1088" w:type="dxa"/>
            <w:vMerge w:val="restart"/>
            <w:tcBorders>
              <w:top w:val="single" w:color="000000" w:sz="4" w:space="0"/>
              <w:left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总线按钮</w:t>
            </w:r>
          </w:p>
        </w:tc>
        <w:tc>
          <w:tcPr>
            <w:tcW w:w="1600" w:type="dxa"/>
            <w:vMerge w:val="restart"/>
            <w:tcBorders>
              <w:top w:val="single" w:color="000000" w:sz="4" w:space="0"/>
              <w:left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PVC环保塑胶</w:t>
            </w:r>
          </w:p>
        </w:tc>
        <w:tc>
          <w:tcPr>
            <w:tcW w:w="3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开、关、急停三键控制</w:t>
            </w:r>
          </w:p>
        </w:tc>
        <w:tc>
          <w:tcPr>
            <w:tcW w:w="1856"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1088" w:type="dxa"/>
            <w:vMerge w:val="continue"/>
            <w:tcBorders>
              <w:left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1600" w:type="dxa"/>
            <w:vMerge w:val="continue"/>
            <w:tcBorders>
              <w:left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3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预留红外感应接口、停车场管理系统接口</w:t>
            </w:r>
          </w:p>
        </w:tc>
        <w:tc>
          <w:tcPr>
            <w:tcW w:w="1856" w:type="dxa"/>
            <w:vMerge w:val="continue"/>
            <w:tcBorders>
              <w:left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3" w:hRule="atLeast"/>
        </w:trPr>
        <w:tc>
          <w:tcPr>
            <w:tcW w:w="1088" w:type="dxa"/>
            <w:vMerge w:val="continue"/>
            <w:tcBorders>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1600" w:type="dxa"/>
            <w:vMerge w:val="continue"/>
            <w:tcBorders>
              <w:left w:val="single" w:color="000000" w:sz="4" w:space="0"/>
              <w:bottom w:val="single" w:color="000000" w:sz="4" w:space="0"/>
              <w:right w:val="single" w:color="000000" w:sz="4" w:space="0"/>
            </w:tcBorders>
            <w:noWrap w:val="0"/>
            <w:vAlign w:val="center"/>
          </w:tcPr>
          <w:p>
            <w:pPr>
              <w:jc w:val="center"/>
              <w:rPr>
                <w:rFonts w:hint="eastAsia" w:hAnsi="宋体"/>
                <w:color w:val="000000" w:themeColor="text1"/>
                <w:sz w:val="24"/>
                <w14:textFill>
                  <w14:solidFill>
                    <w14:schemeClr w14:val="tx1"/>
                  </w14:solidFill>
                </w14:textFill>
              </w:rPr>
            </w:pPr>
          </w:p>
        </w:tc>
        <w:tc>
          <w:tcPr>
            <w:tcW w:w="3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电压：12V</w:t>
            </w:r>
          </w:p>
        </w:tc>
        <w:tc>
          <w:tcPr>
            <w:tcW w:w="1856"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olor w:val="000000" w:themeColor="text1"/>
                <w:sz w:val="24"/>
                <w14:textFill>
                  <w14:solidFill>
                    <w14:schemeClr w14:val="tx1"/>
                  </w14:solidFill>
                </w14:textFill>
              </w:rPr>
            </w:pPr>
          </w:p>
        </w:tc>
      </w:tr>
    </w:tbl>
    <w:p>
      <w:pPr>
        <w:pStyle w:val="2"/>
        <w:jc w:val="both"/>
        <w:rPr>
          <w:rFonts w:hint="eastAsia" w:cstheme="minorBidi"/>
          <w:b w:val="0"/>
          <w:bCs w:val="0"/>
          <w:color w:val="000000" w:themeColor="text1"/>
          <w:kern w:val="2"/>
          <w:sz w:val="28"/>
          <w:szCs w:val="28"/>
          <w:lang w:val="en-US" w:eastAsia="zh-CN" w:bidi="ar-SA"/>
          <w14:textFill>
            <w14:solidFill>
              <w14:schemeClr w14:val="tx1"/>
            </w14:solidFill>
          </w14:textFill>
        </w:rPr>
      </w:pPr>
    </w:p>
    <w:p>
      <w:pPr>
        <w:pStyle w:val="2"/>
        <w:jc w:val="both"/>
        <w:rPr>
          <w:rFonts w:hint="eastAsia"/>
          <w:color w:val="000000" w:themeColor="text1"/>
          <w:sz w:val="28"/>
          <w:szCs w:val="28"/>
          <w:lang w:val="en-US" w:eastAsia="zh-CN"/>
          <w14:textFill>
            <w14:solidFill>
              <w14:schemeClr w14:val="tx1"/>
            </w14:solidFill>
          </w14:textFill>
        </w:rPr>
      </w:pPr>
      <w:r>
        <w:rPr>
          <w:rFonts w:hint="eastAsia" w:cstheme="minorBidi"/>
          <w:b w:val="0"/>
          <w:bCs w:val="0"/>
          <w:color w:val="000000" w:themeColor="text1"/>
          <w:kern w:val="2"/>
          <w:sz w:val="28"/>
          <w:szCs w:val="28"/>
          <w:lang w:val="en-US" w:eastAsia="zh-CN" w:bidi="ar-SA"/>
          <w14:textFill>
            <w14:solidFill>
              <w14:schemeClr w14:val="tx1"/>
            </w14:solidFill>
          </w14:textFill>
        </w:rPr>
        <w:t>五、</w:t>
      </w:r>
      <w:r>
        <w:rPr>
          <w:rFonts w:hint="eastAsia"/>
          <w:color w:val="000000" w:themeColor="text1"/>
          <w:sz w:val="28"/>
          <w:szCs w:val="28"/>
          <w:lang w:val="en-US" w:eastAsia="zh-CN"/>
          <w14:textFill>
            <w14:solidFill>
              <w14:schemeClr w14:val="tx1"/>
            </w14:solidFill>
          </w14:textFill>
        </w:rPr>
        <w:t>评审办法说明</w:t>
      </w:r>
    </w:p>
    <w:p>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本办法采用综合评估打分法，评标时应先评技术标后评商务标，对通过资格评审的磋商响应文件的技术、商务部分分别按照百分制打分方法打分后，再按下列公式计算出各供应商的综合得分。</w:t>
      </w:r>
    </w:p>
    <w:p>
      <w:pPr>
        <w:spacing w:line="360" w:lineRule="auto"/>
        <w:ind w:firstLine="700" w:firstLineChars="2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Z＝S＋J</w:t>
      </w:r>
    </w:p>
    <w:p>
      <w:pPr>
        <w:spacing w:line="360" w:lineRule="auto"/>
        <w:ind w:firstLine="700" w:firstLineChars="2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其中：</w:t>
      </w:r>
    </w:p>
    <w:p>
      <w:pPr>
        <w:spacing w:line="360" w:lineRule="auto"/>
        <w:ind w:firstLine="700" w:firstLineChars="2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Z：指供应商的最后得分；</w:t>
      </w:r>
    </w:p>
    <w:p>
      <w:pPr>
        <w:spacing w:line="360" w:lineRule="auto"/>
        <w:ind w:firstLine="700" w:firstLineChars="2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S：指供应商的商务部分得分；</w:t>
      </w:r>
    </w:p>
    <w:p>
      <w:pPr>
        <w:spacing w:line="360" w:lineRule="auto"/>
        <w:ind w:firstLine="700" w:firstLineChars="2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J：指供应商的技术部分得分。</w:t>
      </w:r>
    </w:p>
    <w:p>
      <w:pPr>
        <w:pStyle w:val="2"/>
        <w:numPr>
          <w:ilvl w:val="0"/>
          <w:numId w:val="1"/>
        </w:num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服务及货物报价即商务S得分（60分）</w:t>
      </w:r>
    </w:p>
    <w:p>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1、本次竞争性磋商允许二次报价。供应商的二次报价即为最终报价。商务部分评审以供应商二次报价为准。</w:t>
      </w:r>
    </w:p>
    <w:p>
      <w:pPr>
        <w:shd w:val="clear" w:color="auto" w:fill="FFFFFF"/>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2、综合评分法中的价格分统一采用低价优先法计算，即满足竞争性磋商文件要求且最后报价最低的供应商的价格为磋商基准价，其价格分为满分。其他供应商的价格分统一按照下列公式计算：</w:t>
      </w:r>
    </w:p>
    <w:p>
      <w:pPr>
        <w:widowControl/>
        <w:shd w:val="clear" w:color="auto" w:fill="FFFFFF"/>
        <w:spacing w:line="360" w:lineRule="auto"/>
        <w:ind w:firstLine="560" w:firstLineChars="200"/>
        <w:jc w:val="left"/>
        <w:rPr>
          <w:rFonts w:hint="eastAsia"/>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t>磋商报价得分=（磋商基准价/最后磋商报价）×</w:t>
      </w:r>
      <w:r>
        <w:rPr>
          <w:rFonts w:hint="eastAsia"/>
          <w:color w:val="000000" w:themeColor="text1"/>
          <w:sz w:val="28"/>
          <w:szCs w:val="28"/>
          <w:lang w:val="en-US" w:eastAsia="zh-CN"/>
          <w14:textFill>
            <w14:solidFill>
              <w14:schemeClr w14:val="tx1"/>
            </w14:solidFill>
          </w14:textFill>
        </w:rPr>
        <w:t>6</w:t>
      </w:r>
      <w:r>
        <w:rPr>
          <w:color w:val="000000" w:themeColor="text1"/>
          <w:sz w:val="28"/>
          <w:szCs w:val="28"/>
          <w14:textFill>
            <w14:solidFill>
              <w14:schemeClr w14:val="tx1"/>
            </w14:solidFill>
          </w14:textFill>
        </w:rPr>
        <w:t>0</w:t>
      </w:r>
    </w:p>
    <w:p>
      <w:pPr>
        <w:pStyle w:val="2"/>
        <w:numPr>
          <w:ilvl w:val="0"/>
          <w:numId w:val="1"/>
        </w:numPr>
        <w:ind w:left="0" w:leftChars="0" w:firstLine="0" w:firstLineChars="0"/>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技术J得分（40分）</w:t>
      </w:r>
    </w:p>
    <w:p>
      <w:pPr>
        <w:pStyle w:val="2"/>
        <w:numPr>
          <w:ilvl w:val="0"/>
          <w:numId w:val="0"/>
        </w:num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1、技术参数的响应程度（15分）（填表1）</w:t>
      </w:r>
    </w:p>
    <w:p>
      <w:pPr>
        <w:pStyle w:val="2"/>
        <w:jc w:val="center"/>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表1  产品参数偏离对比表</w:t>
      </w:r>
    </w:p>
    <w:tbl>
      <w:tblPr>
        <w:tblStyle w:val="8"/>
        <w:tblW w:w="98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1"/>
        <w:gridCol w:w="1259"/>
        <w:gridCol w:w="3232"/>
        <w:gridCol w:w="2929"/>
        <w:gridCol w:w="984"/>
        <w:gridCol w:w="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601" w:type="dxa"/>
            <w:noWrap w:val="0"/>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259" w:type="dxa"/>
            <w:noWrap w:val="0"/>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货物（产品）名称</w:t>
            </w:r>
          </w:p>
        </w:tc>
        <w:tc>
          <w:tcPr>
            <w:tcW w:w="3232" w:type="dxa"/>
            <w:noWrap w:val="0"/>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磋商文件技术规范、要求</w:t>
            </w:r>
          </w:p>
        </w:tc>
        <w:tc>
          <w:tcPr>
            <w:tcW w:w="2929" w:type="dxa"/>
            <w:noWrap w:val="0"/>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所投品牌、产地、型号、技术参数及配置</w:t>
            </w:r>
          </w:p>
        </w:tc>
        <w:tc>
          <w:tcPr>
            <w:tcW w:w="984" w:type="dxa"/>
            <w:noWrap w:val="0"/>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偏离</w:t>
            </w:r>
          </w:p>
        </w:tc>
        <w:tc>
          <w:tcPr>
            <w:tcW w:w="865" w:type="dxa"/>
            <w:noWrap w:val="0"/>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jc w:val="center"/>
        </w:trPr>
        <w:tc>
          <w:tcPr>
            <w:tcW w:w="601" w:type="dxa"/>
            <w:noWrap w:val="0"/>
            <w:vAlign w:val="center"/>
          </w:tcPr>
          <w:p>
            <w:pPr>
              <w:spacing w:line="360" w:lineRule="auto"/>
              <w:jc w:val="center"/>
              <w:rPr>
                <w:color w:val="000000" w:themeColor="text1"/>
                <w:szCs w:val="21"/>
                <w14:textFill>
                  <w14:solidFill>
                    <w14:schemeClr w14:val="tx1"/>
                  </w14:solidFill>
                </w14:textFill>
              </w:rPr>
            </w:pPr>
          </w:p>
        </w:tc>
        <w:tc>
          <w:tcPr>
            <w:tcW w:w="1259" w:type="dxa"/>
            <w:noWrap w:val="0"/>
            <w:vAlign w:val="center"/>
          </w:tcPr>
          <w:p>
            <w:pPr>
              <w:spacing w:line="360" w:lineRule="auto"/>
              <w:jc w:val="center"/>
              <w:rPr>
                <w:color w:val="000000" w:themeColor="text1"/>
                <w:szCs w:val="21"/>
                <w14:textFill>
                  <w14:solidFill>
                    <w14:schemeClr w14:val="tx1"/>
                  </w14:solidFill>
                </w14:textFill>
              </w:rPr>
            </w:pPr>
          </w:p>
        </w:tc>
        <w:tc>
          <w:tcPr>
            <w:tcW w:w="3232" w:type="dxa"/>
            <w:noWrap w:val="0"/>
            <w:vAlign w:val="center"/>
          </w:tcPr>
          <w:p>
            <w:pPr>
              <w:spacing w:line="360" w:lineRule="auto"/>
              <w:jc w:val="center"/>
              <w:rPr>
                <w:color w:val="000000" w:themeColor="text1"/>
                <w:szCs w:val="21"/>
                <w14:textFill>
                  <w14:solidFill>
                    <w14:schemeClr w14:val="tx1"/>
                  </w14:solidFill>
                </w14:textFill>
              </w:rPr>
            </w:pPr>
          </w:p>
        </w:tc>
        <w:tc>
          <w:tcPr>
            <w:tcW w:w="2929" w:type="dxa"/>
            <w:noWrap w:val="0"/>
            <w:vAlign w:val="center"/>
          </w:tcPr>
          <w:p>
            <w:pPr>
              <w:spacing w:line="360" w:lineRule="auto"/>
              <w:jc w:val="center"/>
              <w:rPr>
                <w:color w:val="000000" w:themeColor="text1"/>
                <w:szCs w:val="21"/>
                <w14:textFill>
                  <w14:solidFill>
                    <w14:schemeClr w14:val="tx1"/>
                  </w14:solidFill>
                </w14:textFill>
              </w:rPr>
            </w:pPr>
          </w:p>
        </w:tc>
        <w:tc>
          <w:tcPr>
            <w:tcW w:w="984" w:type="dxa"/>
            <w:noWrap w:val="0"/>
            <w:vAlign w:val="top"/>
          </w:tcPr>
          <w:p>
            <w:pPr>
              <w:spacing w:line="360" w:lineRule="auto"/>
              <w:jc w:val="center"/>
              <w:rPr>
                <w:color w:val="000000" w:themeColor="text1"/>
                <w:szCs w:val="21"/>
                <w14:textFill>
                  <w14:solidFill>
                    <w14:schemeClr w14:val="tx1"/>
                  </w14:solidFill>
                </w14:textFill>
              </w:rPr>
            </w:pPr>
          </w:p>
        </w:tc>
        <w:tc>
          <w:tcPr>
            <w:tcW w:w="865" w:type="dxa"/>
            <w:noWrap w:val="0"/>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6" w:hRule="atLeast"/>
          <w:jc w:val="center"/>
        </w:trPr>
        <w:tc>
          <w:tcPr>
            <w:tcW w:w="601" w:type="dxa"/>
            <w:noWrap w:val="0"/>
            <w:vAlign w:val="center"/>
          </w:tcPr>
          <w:p>
            <w:pPr>
              <w:spacing w:line="360" w:lineRule="auto"/>
              <w:jc w:val="center"/>
              <w:rPr>
                <w:color w:val="000000" w:themeColor="text1"/>
                <w:szCs w:val="21"/>
                <w14:textFill>
                  <w14:solidFill>
                    <w14:schemeClr w14:val="tx1"/>
                  </w14:solidFill>
                </w14:textFill>
              </w:rPr>
            </w:pPr>
          </w:p>
        </w:tc>
        <w:tc>
          <w:tcPr>
            <w:tcW w:w="1259" w:type="dxa"/>
            <w:noWrap w:val="0"/>
            <w:vAlign w:val="center"/>
          </w:tcPr>
          <w:p>
            <w:pPr>
              <w:spacing w:line="360" w:lineRule="auto"/>
              <w:jc w:val="center"/>
              <w:rPr>
                <w:color w:val="000000" w:themeColor="text1"/>
                <w:szCs w:val="21"/>
                <w14:textFill>
                  <w14:solidFill>
                    <w14:schemeClr w14:val="tx1"/>
                  </w14:solidFill>
                </w14:textFill>
              </w:rPr>
            </w:pPr>
          </w:p>
        </w:tc>
        <w:tc>
          <w:tcPr>
            <w:tcW w:w="3232" w:type="dxa"/>
            <w:noWrap w:val="0"/>
            <w:vAlign w:val="center"/>
          </w:tcPr>
          <w:p>
            <w:pPr>
              <w:spacing w:line="360" w:lineRule="auto"/>
              <w:jc w:val="center"/>
              <w:rPr>
                <w:color w:val="000000" w:themeColor="text1"/>
                <w:szCs w:val="21"/>
                <w14:textFill>
                  <w14:solidFill>
                    <w14:schemeClr w14:val="tx1"/>
                  </w14:solidFill>
                </w14:textFill>
              </w:rPr>
            </w:pPr>
          </w:p>
        </w:tc>
        <w:tc>
          <w:tcPr>
            <w:tcW w:w="2929" w:type="dxa"/>
            <w:noWrap w:val="0"/>
            <w:vAlign w:val="center"/>
          </w:tcPr>
          <w:p>
            <w:pPr>
              <w:spacing w:line="360" w:lineRule="auto"/>
              <w:jc w:val="center"/>
              <w:rPr>
                <w:color w:val="000000" w:themeColor="text1"/>
                <w:szCs w:val="21"/>
                <w14:textFill>
                  <w14:solidFill>
                    <w14:schemeClr w14:val="tx1"/>
                  </w14:solidFill>
                </w14:textFill>
              </w:rPr>
            </w:pPr>
          </w:p>
        </w:tc>
        <w:tc>
          <w:tcPr>
            <w:tcW w:w="984" w:type="dxa"/>
            <w:noWrap w:val="0"/>
            <w:vAlign w:val="top"/>
          </w:tcPr>
          <w:p>
            <w:pPr>
              <w:spacing w:line="360" w:lineRule="auto"/>
              <w:jc w:val="center"/>
              <w:rPr>
                <w:color w:val="000000" w:themeColor="text1"/>
                <w:szCs w:val="21"/>
                <w14:textFill>
                  <w14:solidFill>
                    <w14:schemeClr w14:val="tx1"/>
                  </w14:solidFill>
                </w14:textFill>
              </w:rPr>
            </w:pPr>
          </w:p>
        </w:tc>
        <w:tc>
          <w:tcPr>
            <w:tcW w:w="865" w:type="dxa"/>
            <w:noWrap w:val="0"/>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 w:hRule="atLeast"/>
          <w:jc w:val="center"/>
        </w:trPr>
        <w:tc>
          <w:tcPr>
            <w:tcW w:w="601" w:type="dxa"/>
            <w:noWrap w:val="0"/>
            <w:vAlign w:val="center"/>
          </w:tcPr>
          <w:p>
            <w:pPr>
              <w:spacing w:line="360" w:lineRule="auto"/>
              <w:jc w:val="center"/>
              <w:rPr>
                <w:color w:val="000000" w:themeColor="text1"/>
                <w:szCs w:val="21"/>
                <w14:textFill>
                  <w14:solidFill>
                    <w14:schemeClr w14:val="tx1"/>
                  </w14:solidFill>
                </w14:textFill>
              </w:rPr>
            </w:pPr>
          </w:p>
        </w:tc>
        <w:tc>
          <w:tcPr>
            <w:tcW w:w="1259" w:type="dxa"/>
            <w:noWrap w:val="0"/>
            <w:vAlign w:val="center"/>
          </w:tcPr>
          <w:p>
            <w:pPr>
              <w:spacing w:line="360" w:lineRule="auto"/>
              <w:jc w:val="center"/>
              <w:rPr>
                <w:color w:val="000000" w:themeColor="text1"/>
                <w:szCs w:val="21"/>
                <w14:textFill>
                  <w14:solidFill>
                    <w14:schemeClr w14:val="tx1"/>
                  </w14:solidFill>
                </w14:textFill>
              </w:rPr>
            </w:pPr>
          </w:p>
        </w:tc>
        <w:tc>
          <w:tcPr>
            <w:tcW w:w="3232" w:type="dxa"/>
            <w:noWrap w:val="0"/>
            <w:vAlign w:val="center"/>
          </w:tcPr>
          <w:p>
            <w:pPr>
              <w:spacing w:line="360" w:lineRule="auto"/>
              <w:jc w:val="center"/>
              <w:rPr>
                <w:color w:val="000000" w:themeColor="text1"/>
                <w:szCs w:val="21"/>
                <w14:textFill>
                  <w14:solidFill>
                    <w14:schemeClr w14:val="tx1"/>
                  </w14:solidFill>
                </w14:textFill>
              </w:rPr>
            </w:pPr>
          </w:p>
        </w:tc>
        <w:tc>
          <w:tcPr>
            <w:tcW w:w="2929" w:type="dxa"/>
            <w:noWrap w:val="0"/>
            <w:vAlign w:val="center"/>
          </w:tcPr>
          <w:p>
            <w:pPr>
              <w:spacing w:line="360" w:lineRule="auto"/>
              <w:jc w:val="center"/>
              <w:rPr>
                <w:color w:val="000000" w:themeColor="text1"/>
                <w:szCs w:val="21"/>
                <w14:textFill>
                  <w14:solidFill>
                    <w14:schemeClr w14:val="tx1"/>
                  </w14:solidFill>
                </w14:textFill>
              </w:rPr>
            </w:pPr>
          </w:p>
        </w:tc>
        <w:tc>
          <w:tcPr>
            <w:tcW w:w="984" w:type="dxa"/>
            <w:noWrap w:val="0"/>
            <w:vAlign w:val="top"/>
          </w:tcPr>
          <w:p>
            <w:pPr>
              <w:spacing w:line="360" w:lineRule="auto"/>
              <w:jc w:val="center"/>
              <w:rPr>
                <w:color w:val="000000" w:themeColor="text1"/>
                <w:szCs w:val="21"/>
                <w14:textFill>
                  <w14:solidFill>
                    <w14:schemeClr w14:val="tx1"/>
                  </w14:solidFill>
                </w14:textFill>
              </w:rPr>
            </w:pPr>
          </w:p>
        </w:tc>
        <w:tc>
          <w:tcPr>
            <w:tcW w:w="865" w:type="dxa"/>
            <w:noWrap w:val="0"/>
            <w:vAlign w:val="center"/>
          </w:tcPr>
          <w:p>
            <w:pPr>
              <w:spacing w:line="360" w:lineRule="auto"/>
              <w:jc w:val="center"/>
              <w:rPr>
                <w:color w:val="000000" w:themeColor="text1"/>
                <w:szCs w:val="21"/>
                <w14:textFill>
                  <w14:solidFill>
                    <w14:schemeClr w14:val="tx1"/>
                  </w14:solidFill>
                </w14:textFill>
              </w:rPr>
            </w:pPr>
          </w:p>
        </w:tc>
      </w:tr>
    </w:tbl>
    <w:p>
      <w:pPr>
        <w:pStyle w:val="2"/>
        <w:jc w:val="both"/>
        <w:rPr>
          <w:rFonts w:hint="eastAsia"/>
          <w:color w:val="000000" w:themeColor="text1"/>
          <w:sz w:val="28"/>
          <w:szCs w:val="28"/>
          <w:lang w:val="en-US" w:eastAsia="zh-CN"/>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a.完全满足（或优于）招标文件要求的，得满分</w:t>
      </w:r>
      <w:r>
        <w:rPr>
          <w:rFonts w:hint="eastAsia"/>
          <w:color w:val="000000" w:themeColor="text1"/>
          <w:sz w:val="28"/>
          <w:szCs w:val="28"/>
          <w:lang w:val="en-US" w:eastAsia="zh-CN"/>
          <w14:textFill>
            <w14:solidFill>
              <w14:schemeClr w14:val="tx1"/>
            </w14:solidFill>
          </w14:textFill>
        </w:rPr>
        <w:t>15</w:t>
      </w:r>
      <w:r>
        <w:rPr>
          <w:color w:val="000000" w:themeColor="text1"/>
          <w:sz w:val="28"/>
          <w:szCs w:val="28"/>
          <w14:textFill>
            <w14:solidFill>
              <w14:schemeClr w14:val="tx1"/>
            </w14:solidFill>
          </w14:textFill>
        </w:rPr>
        <w:t>分。</w:t>
      </w:r>
    </w:p>
    <w:p>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注：响应文件中提供所投产品技术资料支持技术规格偏离表的应答（技术资料以制造商公开发布的印刷资料或检测机构出具的检测报告为准</w:t>
      </w:r>
      <w:r>
        <w:rPr>
          <w:rFonts w:hint="eastAsia"/>
          <w:color w:val="000000" w:themeColor="text1"/>
          <w:sz w:val="28"/>
          <w:szCs w:val="28"/>
          <w14:textFill>
            <w14:solidFill>
              <w14:schemeClr w14:val="tx1"/>
            </w14:solidFill>
          </w14:textFill>
        </w:rPr>
        <w:t>，</w:t>
      </w:r>
      <w:bookmarkStart w:id="4" w:name="_Hlk45805401"/>
      <w:r>
        <w:rPr>
          <w:rFonts w:hint="eastAsia"/>
          <w:color w:val="000000" w:themeColor="text1"/>
          <w:sz w:val="28"/>
          <w:szCs w:val="28"/>
          <w14:textFill>
            <w14:solidFill>
              <w14:schemeClr w14:val="tx1"/>
            </w14:solidFill>
          </w14:textFill>
        </w:rPr>
        <w:t>不需要出具检验报告的产品的技术支持资料可提供生产厂家的出厂合格证书等证明材料</w:t>
      </w:r>
      <w:r>
        <w:rPr>
          <w:color w:val="000000" w:themeColor="text1"/>
          <w:sz w:val="28"/>
          <w:szCs w:val="28"/>
          <w14:textFill>
            <w14:solidFill>
              <w14:schemeClr w14:val="tx1"/>
            </w14:solidFill>
          </w14:textFill>
        </w:rPr>
        <w:t>）</w:t>
      </w:r>
      <w:bookmarkEnd w:id="4"/>
      <w:r>
        <w:rPr>
          <w:color w:val="000000" w:themeColor="text1"/>
          <w:sz w:val="28"/>
          <w:szCs w:val="28"/>
          <w14:textFill>
            <w14:solidFill>
              <w14:schemeClr w14:val="tx1"/>
            </w14:solidFill>
          </w14:textFill>
        </w:rPr>
        <w:t>。</w:t>
      </w:r>
    </w:p>
    <w:p>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b.扣分因素：当供应商所投产品技术参数出现“负偏离”时,每存在一项负偏离的扣5分，分数扣完为止。</w:t>
      </w:r>
    </w:p>
    <w:p>
      <w:pPr>
        <w:spacing w:line="360" w:lineRule="auto"/>
        <w:ind w:firstLine="560" w:firstLineChars="200"/>
        <w:rPr>
          <w:rFonts w:hint="eastAsia"/>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t>未按招标文件要求逐条填写技术规格偏离表的，该项不得分。</w:t>
      </w:r>
    </w:p>
    <w:p>
      <w:pPr>
        <w:pStyle w:val="2"/>
        <w:numPr>
          <w:ilvl w:val="0"/>
          <w:numId w:val="2"/>
        </w:num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施工方案的合理性和可行性（15分）</w:t>
      </w:r>
    </w:p>
    <w:p>
      <w:pPr>
        <w:pStyle w:val="5"/>
        <w:numPr>
          <w:ilvl w:val="0"/>
          <w:numId w:val="0"/>
        </w:numPr>
        <w:spacing w:line="480" w:lineRule="exact"/>
        <w:ind w:leftChars="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施工</w:t>
      </w:r>
      <w:r>
        <w:rPr>
          <w:rFonts w:hint="eastAsia" w:ascii="宋体" w:hAnsi="宋体"/>
          <w:color w:val="000000" w:themeColor="text1"/>
          <w:sz w:val="28"/>
          <w:szCs w:val="28"/>
          <w:lang w:eastAsia="zh-CN"/>
          <w14:textFill>
            <w14:solidFill>
              <w14:schemeClr w14:val="tx1"/>
            </w14:solidFill>
          </w14:textFill>
        </w:rPr>
        <w:t>方案清晰完整，</w:t>
      </w:r>
      <w:r>
        <w:rPr>
          <w:rFonts w:hint="eastAsia" w:ascii="宋体" w:hAnsi="宋体"/>
          <w:color w:val="000000" w:themeColor="text1"/>
          <w:sz w:val="28"/>
          <w:szCs w:val="28"/>
          <w14:textFill>
            <w14:solidFill>
              <w14:schemeClr w14:val="tx1"/>
            </w14:solidFill>
          </w14:textFill>
        </w:rPr>
        <w:t>针对性较强</w:t>
      </w:r>
      <w:r>
        <w:rPr>
          <w:rFonts w:hint="eastAsia" w:ascii="宋体" w:hAnsi="宋体"/>
          <w:color w:val="000000" w:themeColor="text1"/>
          <w:sz w:val="28"/>
          <w:szCs w:val="28"/>
          <w:lang w:eastAsia="zh-CN"/>
          <w14:textFill>
            <w14:solidFill>
              <w14:schemeClr w14:val="tx1"/>
            </w14:solidFill>
          </w14:textFill>
        </w:rPr>
        <w:t>，服务措施、手段齐全，进度及时间安排合理，人员配置得当，文件编制规范整洁，</w:t>
      </w:r>
      <w:r>
        <w:rPr>
          <w:rFonts w:hint="eastAsia" w:ascii="宋体" w:hAnsi="宋体"/>
          <w:color w:val="000000" w:themeColor="text1"/>
          <w:sz w:val="28"/>
          <w:szCs w:val="28"/>
          <w14:textFill>
            <w14:solidFill>
              <w14:schemeClr w14:val="tx1"/>
            </w14:solidFill>
          </w14:textFill>
        </w:rPr>
        <w:t>得</w:t>
      </w:r>
      <w:r>
        <w:rPr>
          <w:rFonts w:hint="eastAsia" w:ascii="宋体" w:hAnsi="宋体"/>
          <w:color w:val="000000" w:themeColor="text1"/>
          <w:sz w:val="28"/>
          <w:szCs w:val="28"/>
          <w:lang w:val="en-US" w:eastAsia="zh-CN"/>
          <w14:textFill>
            <w14:solidFill>
              <w14:schemeClr w14:val="tx1"/>
            </w14:solidFill>
          </w14:textFill>
        </w:rPr>
        <w:t>12</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15</w:t>
      </w:r>
      <w:r>
        <w:rPr>
          <w:rFonts w:hint="eastAsia" w:ascii="宋体" w:hAnsi="宋体"/>
          <w:color w:val="000000" w:themeColor="text1"/>
          <w:sz w:val="28"/>
          <w:szCs w:val="28"/>
          <w14:textFill>
            <w14:solidFill>
              <w14:schemeClr w14:val="tx1"/>
            </w14:solidFill>
          </w14:textFill>
        </w:rPr>
        <w:t>分；</w:t>
      </w:r>
    </w:p>
    <w:p>
      <w:pPr>
        <w:pStyle w:val="5"/>
        <w:numPr>
          <w:ilvl w:val="0"/>
          <w:numId w:val="0"/>
        </w:numPr>
        <w:spacing w:line="480" w:lineRule="exact"/>
        <w:ind w:leftChars="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lang w:eastAsia="zh-CN"/>
          <w14:textFill>
            <w14:solidFill>
              <w14:schemeClr w14:val="tx1"/>
            </w14:solidFill>
          </w14:textFill>
        </w:rPr>
        <w:t>）服务方案比较清晰完整，有</w:t>
      </w:r>
      <w:r>
        <w:rPr>
          <w:rFonts w:hint="eastAsia" w:ascii="宋体" w:hAnsi="宋体"/>
          <w:color w:val="000000" w:themeColor="text1"/>
          <w:sz w:val="28"/>
          <w:szCs w:val="28"/>
          <w14:textFill>
            <w14:solidFill>
              <w14:schemeClr w14:val="tx1"/>
            </w14:solidFill>
          </w14:textFill>
        </w:rPr>
        <w:t>针对性</w:t>
      </w:r>
      <w:r>
        <w:rPr>
          <w:rFonts w:hint="eastAsia" w:ascii="宋体" w:hAnsi="宋体"/>
          <w:color w:val="000000" w:themeColor="text1"/>
          <w:sz w:val="28"/>
          <w:szCs w:val="28"/>
          <w:lang w:eastAsia="zh-CN"/>
          <w14:textFill>
            <w14:solidFill>
              <w14:schemeClr w14:val="tx1"/>
            </w14:solidFill>
          </w14:textFill>
        </w:rPr>
        <w:t>，服务措施、手段基本齐全，进度及时间安排较合理，人员配置较得当，文件编制较规范整洁，</w:t>
      </w:r>
      <w:r>
        <w:rPr>
          <w:rFonts w:hint="eastAsia" w:ascii="宋体" w:hAnsi="宋体"/>
          <w:color w:val="000000" w:themeColor="text1"/>
          <w:sz w:val="28"/>
          <w:szCs w:val="28"/>
          <w14:textFill>
            <w14:solidFill>
              <w14:schemeClr w14:val="tx1"/>
            </w14:solidFill>
          </w14:textFill>
        </w:rPr>
        <w:t>得</w:t>
      </w:r>
      <w:r>
        <w:rPr>
          <w:rFonts w:hint="eastAsia" w:ascii="宋体" w:hAnsi="宋体"/>
          <w:color w:val="000000" w:themeColor="text1"/>
          <w:sz w:val="28"/>
          <w:szCs w:val="28"/>
          <w:lang w:val="en-US" w:eastAsia="zh-CN"/>
          <w14:textFill>
            <w14:solidFill>
              <w14:schemeClr w14:val="tx1"/>
            </w14:solidFill>
          </w14:textFill>
        </w:rPr>
        <w:t>8</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11</w:t>
      </w:r>
      <w:r>
        <w:rPr>
          <w:rFonts w:hint="eastAsia" w:ascii="宋体" w:hAnsi="宋体"/>
          <w:color w:val="000000" w:themeColor="text1"/>
          <w:sz w:val="28"/>
          <w:szCs w:val="28"/>
          <w14:textFill>
            <w14:solidFill>
              <w14:schemeClr w14:val="tx1"/>
            </w14:solidFill>
          </w14:textFill>
        </w:rPr>
        <w:t>分；</w:t>
      </w:r>
    </w:p>
    <w:p>
      <w:pPr>
        <w:pStyle w:val="5"/>
        <w:numPr>
          <w:ilvl w:val="0"/>
          <w:numId w:val="0"/>
        </w:numPr>
        <w:spacing w:line="480" w:lineRule="exact"/>
        <w:ind w:leftChars="0"/>
        <w:rPr>
          <w:rFonts w:hint="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eastAsia="zh-CN"/>
          <w14:textFill>
            <w14:solidFill>
              <w14:schemeClr w14:val="tx1"/>
            </w14:solidFill>
          </w14:textFill>
        </w:rPr>
        <w:t>）服务方案不够清晰完整，</w:t>
      </w:r>
      <w:r>
        <w:rPr>
          <w:rFonts w:hint="eastAsia" w:ascii="宋体" w:hAnsi="宋体"/>
          <w:color w:val="000000" w:themeColor="text1"/>
          <w:sz w:val="28"/>
          <w:szCs w:val="28"/>
          <w14:textFill>
            <w14:solidFill>
              <w14:schemeClr w14:val="tx1"/>
            </w14:solidFill>
          </w14:textFill>
        </w:rPr>
        <w:t>针对性</w:t>
      </w:r>
      <w:r>
        <w:rPr>
          <w:rFonts w:hint="eastAsia" w:ascii="宋体" w:hAnsi="宋体"/>
          <w:color w:val="000000" w:themeColor="text1"/>
          <w:sz w:val="28"/>
          <w:szCs w:val="28"/>
          <w:lang w:eastAsia="zh-CN"/>
          <w14:textFill>
            <w14:solidFill>
              <w14:schemeClr w14:val="tx1"/>
            </w14:solidFill>
          </w14:textFill>
        </w:rPr>
        <w:t>不够，服务措施、手段不齐全，进度及时间安排有不足，人员配置不够，文件编制不符合规范整洁要求，</w:t>
      </w:r>
      <w:r>
        <w:rPr>
          <w:rFonts w:hint="eastAsia" w:ascii="宋体" w:hAnsi="宋体"/>
          <w:color w:val="000000" w:themeColor="text1"/>
          <w:sz w:val="28"/>
          <w:szCs w:val="28"/>
          <w14:textFill>
            <w14:solidFill>
              <w14:schemeClr w14:val="tx1"/>
            </w14:solidFill>
          </w14:textFill>
        </w:rPr>
        <w:t>得</w:t>
      </w: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分</w:t>
      </w:r>
      <w:r>
        <w:rPr>
          <w:rFonts w:hint="eastAsia" w:ascii="宋体" w:hAnsi="宋体"/>
          <w:color w:val="000000" w:themeColor="text1"/>
          <w:sz w:val="28"/>
          <w:szCs w:val="28"/>
          <w:lang w:eastAsia="zh-CN"/>
          <w14:textFill>
            <w14:solidFill>
              <w14:schemeClr w14:val="tx1"/>
            </w14:solidFill>
          </w14:textFill>
        </w:rPr>
        <w:t>；</w:t>
      </w:r>
    </w:p>
    <w:p>
      <w:pPr>
        <w:pStyle w:val="5"/>
        <w:numPr>
          <w:ilvl w:val="0"/>
          <w:numId w:val="0"/>
        </w:numPr>
        <w:spacing w:line="480" w:lineRule="exact"/>
        <w:ind w:leftChars="0"/>
        <w:rPr>
          <w:rFonts w:hint="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lang w:eastAsia="zh-CN"/>
          <w14:textFill>
            <w14:solidFill>
              <w14:schemeClr w14:val="tx1"/>
            </w14:solidFill>
          </w14:textFill>
        </w:rPr>
        <w:t>）服务方案不完整，无针对性，服务措施、手段不齐全，进度及时间安排不合理，人员配置不当，文件编制不规范，得</w:t>
      </w:r>
      <w:r>
        <w:rPr>
          <w:rFonts w:hint="eastAsia" w:ascii="宋体" w:hAnsi="宋体"/>
          <w:color w:val="000000" w:themeColor="text1"/>
          <w:sz w:val="28"/>
          <w:szCs w:val="28"/>
          <w:lang w:val="en-US" w:eastAsia="zh-CN"/>
          <w14:textFill>
            <w14:solidFill>
              <w14:schemeClr w14:val="tx1"/>
            </w14:solidFill>
          </w14:textFill>
        </w:rPr>
        <w:t>0</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分；</w:t>
      </w:r>
    </w:p>
    <w:p>
      <w:pPr>
        <w:pStyle w:val="2"/>
        <w:numPr>
          <w:ilvl w:val="0"/>
          <w:numId w:val="2"/>
        </w:num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设备巡检、软件升级承诺的合理性和科学性（5分）</w:t>
      </w:r>
    </w:p>
    <w:p>
      <w:pPr>
        <w:pStyle w:val="5"/>
        <w:numPr>
          <w:ilvl w:val="0"/>
          <w:numId w:val="0"/>
        </w:numPr>
        <w:spacing w:line="480" w:lineRule="exact"/>
        <w:ind w:leftChars="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lang w:eastAsia="zh-CN"/>
          <w14:textFill>
            <w14:solidFill>
              <w14:schemeClr w14:val="tx1"/>
            </w14:solidFill>
          </w14:textFill>
        </w:rPr>
        <w:t>）承诺定期进行设备巡检和维护，定期对软件系统进行升级，时间设置合理，人员配置合理，响应快速，得</w:t>
      </w:r>
      <w:r>
        <w:rPr>
          <w:rFonts w:hint="eastAsia" w:ascii="宋体" w:hAnsi="宋体"/>
          <w:color w:val="000000" w:themeColor="text1"/>
          <w:sz w:val="28"/>
          <w:szCs w:val="28"/>
          <w:lang w:val="en-US" w:eastAsia="zh-CN"/>
          <w14:textFill>
            <w14:solidFill>
              <w14:schemeClr w14:val="tx1"/>
            </w14:solidFill>
          </w14:textFill>
        </w:rPr>
        <w:t>4-5分；</w:t>
      </w:r>
    </w:p>
    <w:p>
      <w:pPr>
        <w:pStyle w:val="5"/>
        <w:numPr>
          <w:ilvl w:val="0"/>
          <w:numId w:val="0"/>
        </w:numPr>
        <w:spacing w:line="480" w:lineRule="exact"/>
        <w:ind w:leftChars="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lang w:eastAsia="zh-CN"/>
          <w14:textFill>
            <w14:solidFill>
              <w14:schemeClr w14:val="tx1"/>
            </w14:solidFill>
          </w14:textFill>
        </w:rPr>
        <w:t>）承诺定期进行设备巡检和维护，定期对软件系统进行升级，时间设置可以，人员配置可以，尽快响应，得</w:t>
      </w:r>
      <w:r>
        <w:rPr>
          <w:rFonts w:hint="eastAsia" w:ascii="宋体" w:hAnsi="宋体"/>
          <w:color w:val="000000" w:themeColor="text1"/>
          <w:sz w:val="28"/>
          <w:szCs w:val="28"/>
          <w:lang w:val="en-US" w:eastAsia="zh-CN"/>
          <w14:textFill>
            <w14:solidFill>
              <w14:schemeClr w14:val="tx1"/>
            </w14:solidFill>
          </w14:textFill>
        </w:rPr>
        <w:t>2-3分</w:t>
      </w:r>
      <w:r>
        <w:rPr>
          <w:rFonts w:hint="eastAsia" w:ascii="宋体" w:hAnsi="宋体"/>
          <w:color w:val="000000" w:themeColor="text1"/>
          <w:sz w:val="28"/>
          <w:szCs w:val="28"/>
          <w14:textFill>
            <w14:solidFill>
              <w14:schemeClr w14:val="tx1"/>
            </w14:solidFill>
          </w14:textFill>
        </w:rPr>
        <w:t>；</w:t>
      </w:r>
    </w:p>
    <w:p>
      <w:pPr>
        <w:pStyle w:val="5"/>
        <w:numPr>
          <w:ilvl w:val="0"/>
          <w:numId w:val="0"/>
        </w:numPr>
        <w:spacing w:line="480" w:lineRule="exact"/>
        <w:ind w:leftChars="0"/>
        <w:rPr>
          <w:rFonts w:hint="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eastAsia="zh-CN"/>
          <w14:textFill>
            <w14:solidFill>
              <w14:schemeClr w14:val="tx1"/>
            </w14:solidFill>
          </w14:textFill>
        </w:rPr>
        <w:t>）未充分承诺定期进行设备巡检和维护，定期对软件系统进行升级，时间设置，人员配置不明确，响应未体现，得</w:t>
      </w:r>
      <w:r>
        <w:rPr>
          <w:rFonts w:hint="eastAsia" w:ascii="宋体" w:hAnsi="宋体"/>
          <w:color w:val="000000" w:themeColor="text1"/>
          <w:sz w:val="28"/>
          <w:szCs w:val="28"/>
          <w:lang w:val="en-US" w:eastAsia="zh-CN"/>
          <w14:textFill>
            <w14:solidFill>
              <w14:schemeClr w14:val="tx1"/>
            </w14:solidFill>
          </w14:textFill>
        </w:rPr>
        <w:t>0-1分</w:t>
      </w:r>
      <w:r>
        <w:rPr>
          <w:rFonts w:hint="eastAsia" w:ascii="宋体" w:hAnsi="宋体"/>
          <w:color w:val="000000" w:themeColor="text1"/>
          <w:sz w:val="28"/>
          <w:szCs w:val="28"/>
          <w14:textFill>
            <w14:solidFill>
              <w14:schemeClr w14:val="tx1"/>
            </w14:solidFill>
          </w14:textFill>
        </w:rPr>
        <w:t>；</w:t>
      </w:r>
    </w:p>
    <w:p>
      <w:pPr>
        <w:pStyle w:val="2"/>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4、相关案例和合同（5分）</w:t>
      </w:r>
    </w:p>
    <w:p>
      <w:pPr>
        <w:pStyle w:val="5"/>
        <w:spacing w:line="480" w:lineRule="exact"/>
        <w:ind w:left="0" w:leftChars="0" w:firstLine="560" w:firstLineChars="200"/>
        <w:rPr>
          <w:rFonts w:hint="eastAsia" w:ascii="宋体" w:hAnsi="宋体" w:eastAsiaTheme="minorEastAsia"/>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满足资格条件的类似项目业绩得基本分</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分，每增加一项类似项目业绩加</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分，加满为止。</w:t>
      </w:r>
      <w:r>
        <w:rPr>
          <w:rFonts w:hint="eastAsia" w:ascii="宋体" w:hAnsi="宋体"/>
          <w:color w:val="000000" w:themeColor="text1"/>
          <w:sz w:val="28"/>
          <w:szCs w:val="28"/>
          <w:lang w:eastAsia="zh-CN"/>
          <w14:textFill>
            <w14:solidFill>
              <w14:schemeClr w14:val="tx1"/>
            </w14:solidFill>
          </w14:textFill>
        </w:rPr>
        <w:t>合同以盖章签字和配中标通知书为准。</w:t>
      </w:r>
    </w:p>
    <w:p>
      <w:pPr>
        <w:pStyle w:val="2"/>
        <w:jc w:val="both"/>
        <w:rPr>
          <w:rFonts w:hint="eastAsia"/>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7F93D"/>
    <w:multiLevelType w:val="singleLevel"/>
    <w:tmpl w:val="1447F93D"/>
    <w:lvl w:ilvl="0" w:tentative="0">
      <w:start w:val="2"/>
      <w:numFmt w:val="decimal"/>
      <w:suff w:val="nothing"/>
      <w:lvlText w:val="%1、"/>
      <w:lvlJc w:val="left"/>
    </w:lvl>
  </w:abstractNum>
  <w:abstractNum w:abstractNumId="1">
    <w:nsid w:val="7B39953A"/>
    <w:multiLevelType w:val="singleLevel"/>
    <w:tmpl w:val="7B39953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D8"/>
    <w:rsid w:val="000305DE"/>
    <w:rsid w:val="00035BAD"/>
    <w:rsid w:val="000E3FD8"/>
    <w:rsid w:val="001C5C90"/>
    <w:rsid w:val="00313316"/>
    <w:rsid w:val="004D7E05"/>
    <w:rsid w:val="00684922"/>
    <w:rsid w:val="00785823"/>
    <w:rsid w:val="00887938"/>
    <w:rsid w:val="00BA297E"/>
    <w:rsid w:val="00CB6AA0"/>
    <w:rsid w:val="00ED2A8B"/>
    <w:rsid w:val="02A83D91"/>
    <w:rsid w:val="0E414970"/>
    <w:rsid w:val="0FD10D54"/>
    <w:rsid w:val="12DD14D4"/>
    <w:rsid w:val="17C8049C"/>
    <w:rsid w:val="1F9C1D52"/>
    <w:rsid w:val="28DB7ADB"/>
    <w:rsid w:val="2ABA0EB3"/>
    <w:rsid w:val="2C411543"/>
    <w:rsid w:val="32FF18F6"/>
    <w:rsid w:val="36376B29"/>
    <w:rsid w:val="3A1D26AE"/>
    <w:rsid w:val="3D0E6C21"/>
    <w:rsid w:val="3EA05CA8"/>
    <w:rsid w:val="3EB67BD4"/>
    <w:rsid w:val="493F1D65"/>
    <w:rsid w:val="4BDA27BE"/>
    <w:rsid w:val="4C91436D"/>
    <w:rsid w:val="4EFF1952"/>
    <w:rsid w:val="4FF3355F"/>
    <w:rsid w:val="51CA2296"/>
    <w:rsid w:val="579C49E3"/>
    <w:rsid w:val="590B62A9"/>
    <w:rsid w:val="64C57F67"/>
    <w:rsid w:val="64DF7231"/>
    <w:rsid w:val="700F043E"/>
    <w:rsid w:val="77F1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widowControl w:val="0"/>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cs="Times New Roman"/>
      <w:b/>
      <w:color w:val="auto"/>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Times New Roman" w:hAnsi="Times New Roman"/>
      <w:kern w:val="2"/>
      <w:sz w:val="21"/>
      <w:szCs w:val="24"/>
    </w:rPr>
  </w:style>
  <w:style w:type="paragraph" w:styleId="5">
    <w:name w:val="Body Text Indent"/>
    <w:basedOn w:val="1"/>
    <w:unhideWhenUsed/>
    <w:qFormat/>
    <w:uiPriority w:val="0"/>
    <w:pPr>
      <w:spacing w:line="460" w:lineRule="exact"/>
      <w:ind w:firstLine="51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144</Words>
  <Characters>827</Characters>
  <Lines>6</Lines>
  <Paragraphs>1</Paragraphs>
  <TotalTime>11</TotalTime>
  <ScaleCrop>false</ScaleCrop>
  <LinksUpToDate>false</LinksUpToDate>
  <CharactersWithSpaces>970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2017-10-25T01:07:00Z</dcterms:created>
  <dc:creator>杨天武</dc:creator>
  <cp:lastModifiedBy>Z·X</cp:lastModifiedBy>
  <cp:lastPrinted>2020-08-05T00:55:00Z</cp:lastPrinted>
  <dcterms:modified xsi:type="dcterms:W3CDTF">2020-08-05T05:39:02Z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