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40" w:lineRule="exact"/>
        <w:jc w:val="both"/>
        <w:rPr>
          <w:rFonts w:hint="eastAsia" w:ascii="宋体" w:hAnsi="宋体" w:eastAsia="宋体" w:cs="Arial"/>
          <w:color w:val="000000" w:themeColor="text1"/>
          <w:kern w:val="0"/>
          <w:sz w:val="24"/>
          <w:szCs w:val="24"/>
          <w:lang w:eastAsia="zh-CN"/>
          <w14:textFill>
            <w14:solidFill>
              <w14:schemeClr w14:val="tx1"/>
            </w14:solidFill>
          </w14:textFill>
        </w:rPr>
      </w:pPr>
      <w:bookmarkStart w:id="1" w:name="_GoBack"/>
      <w:bookmarkEnd w:id="1"/>
    </w:p>
    <w:p>
      <w:pPr>
        <w:widowControl/>
        <w:spacing w:before="100" w:beforeAutospacing="1" w:after="100" w:afterAutospacing="1" w:line="440" w:lineRule="exact"/>
        <w:jc w:val="both"/>
        <w:rPr>
          <w:rFonts w:hint="eastAsia" w:ascii="宋体" w:hAnsi="宋体"/>
          <w:color w:val="000000" w:themeColor="text1"/>
          <w:sz w:val="24"/>
          <w:szCs w:val="24"/>
          <w14:textFill>
            <w14:solidFill>
              <w14:schemeClr w14:val="tx1"/>
            </w14:solidFill>
          </w14:textFill>
        </w:rPr>
      </w:pPr>
      <w:r>
        <w:rPr>
          <w:rFonts w:hint="eastAsia" w:ascii="宋体" w:hAnsi="宋体" w:eastAsia="宋体" w:cs="Arial"/>
          <w:color w:val="000000" w:themeColor="text1"/>
          <w:kern w:val="0"/>
          <w:sz w:val="24"/>
          <w:szCs w:val="24"/>
          <w:lang w:eastAsia="zh-CN"/>
          <w14:textFill>
            <w14:solidFill>
              <w14:schemeClr w14:val="tx1"/>
            </w14:solidFill>
          </w14:textFill>
        </w:rPr>
        <w:t>附件</w:t>
      </w:r>
      <w:r>
        <w:rPr>
          <w:rFonts w:hint="eastAsia" w:ascii="宋体" w:hAnsi="宋体" w:eastAsia="宋体" w:cs="Arial"/>
          <w:color w:val="000000" w:themeColor="text1"/>
          <w:kern w:val="0"/>
          <w:sz w:val="24"/>
          <w:szCs w:val="24"/>
          <w:lang w:val="en-US" w:eastAsia="zh-CN"/>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中学直饮水</w:t>
      </w:r>
      <w:r>
        <w:rPr>
          <w:rFonts w:hint="eastAsia" w:ascii="宋体" w:hAnsi="宋体"/>
          <w:color w:val="000000" w:themeColor="text1"/>
          <w:sz w:val="24"/>
          <w:szCs w:val="24"/>
          <w:lang w:val="en-US" w:eastAsia="zh-CN"/>
          <w14:textFill>
            <w14:solidFill>
              <w14:schemeClr w14:val="tx1"/>
            </w14:solidFill>
          </w14:textFill>
        </w:rPr>
        <w:t>项目</w:t>
      </w:r>
      <w:r>
        <w:rPr>
          <w:rFonts w:hint="eastAsia"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kg</w:t>
      </w:r>
      <w:r>
        <w:rPr>
          <w:rFonts w:hint="eastAsia" w:ascii="宋体" w:hAnsi="宋体"/>
          <w:color w:val="000000" w:themeColor="text1"/>
          <w:sz w:val="24"/>
          <w:szCs w:val="24"/>
          <w:lang w:val="en-US" w:eastAsia="zh-CN"/>
          <w14:textFill>
            <w14:solidFill>
              <w14:schemeClr w14:val="tx1"/>
            </w14:solidFill>
          </w14:textFill>
        </w:rPr>
        <w:t>yj005</w:t>
      </w:r>
      <w:r>
        <w:rPr>
          <w:rFonts w:hint="eastAsia" w:ascii="宋体" w:hAnsi="宋体"/>
          <w:color w:val="000000" w:themeColor="text1"/>
          <w:sz w:val="24"/>
          <w:szCs w:val="24"/>
          <w14:textFill>
            <w14:solidFill>
              <w14:schemeClr w14:val="tx1"/>
            </w14:solidFill>
          </w14:textFill>
        </w:rPr>
        <w:t>）询价文件</w:t>
      </w:r>
    </w:p>
    <w:p>
      <w:pPr>
        <w:jc w:val="center"/>
        <w:rPr>
          <w:rFonts w:hint="eastAsia" w:asciiTheme="minorEastAsia" w:hAnsiTheme="minorEastAsia"/>
          <w:b/>
          <w:color w:val="000000" w:themeColor="text1"/>
          <w:sz w:val="24"/>
          <w:szCs w:val="24"/>
          <w:lang w:val="en-US" w:eastAsia="zh-CN"/>
          <w14:textFill>
            <w14:solidFill>
              <w14:schemeClr w14:val="tx1"/>
            </w14:solidFill>
          </w14:textFill>
        </w:rPr>
      </w:pPr>
      <w:r>
        <w:rPr>
          <w:rFonts w:hint="eastAsia" w:asciiTheme="minorEastAsia" w:hAnsiTheme="minorEastAsia"/>
          <w:b/>
          <w:color w:val="000000" w:themeColor="text1"/>
          <w:sz w:val="24"/>
          <w:szCs w:val="24"/>
          <w:lang w:val="en-US" w:eastAsia="zh-CN"/>
          <w14:textFill>
            <w14:solidFill>
              <w14:schemeClr w14:val="tx1"/>
            </w14:solidFill>
          </w14:textFill>
        </w:rPr>
        <w:t>昆明理工大学附属中学直饮水项目询价内容及要求</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一、具体要求</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（一）使用中央水处理设备系统（主机制水设备，制水量不少于1T/H，304不锈钢无菌水箱），不定期抽检水质，并保证水质合格，若一年内有一次抽检不合格，则终止合同。</w:t>
      </w:r>
    </w:p>
    <w:p>
      <w:pPr>
        <w:numPr>
          <w:ilvl w:val="0"/>
          <w:numId w:val="0"/>
        </w:numPr>
        <w:spacing w:line="360" w:lineRule="auto"/>
        <w:jc w:val="left"/>
        <w:rPr>
          <w:rFonts w:hint="eastAsia" w:ascii="Arial" w:hAnsi="Arial" w:eastAsia="宋体" w:cs="Arial"/>
          <w:i w:val="0"/>
          <w:color w:val="000000"/>
          <w:kern w:val="0"/>
          <w:sz w:val="24"/>
          <w:szCs w:val="24"/>
          <w:u w:val="none"/>
          <w:lang w:val="en-US" w:eastAsia="zh-CN" w:bidi="ar"/>
        </w:rPr>
      </w:pPr>
      <w:r>
        <w:rPr>
          <w:rFonts w:hint="eastAsia" w:asciiTheme="minorEastAsia" w:hAnsiTheme="minorEastAsia"/>
          <w:sz w:val="24"/>
          <w:szCs w:val="24"/>
          <w:lang w:val="en-US" w:eastAsia="zh-CN"/>
        </w:rPr>
        <w:t>（二）保证每间教室、办公室及功能室有出水设备，全年</w:t>
      </w:r>
      <w:r>
        <w:rPr>
          <w:rFonts w:hint="default" w:ascii="Arial" w:hAnsi="Arial" w:eastAsia="宋体" w:cs="Arial"/>
          <w:i w:val="0"/>
          <w:color w:val="000000"/>
          <w:kern w:val="0"/>
          <w:sz w:val="24"/>
          <w:szCs w:val="24"/>
          <w:u w:val="none"/>
          <w:lang w:val="en-US" w:eastAsia="zh-CN" w:bidi="ar"/>
        </w:rPr>
        <w:t>365天不间断供应</w:t>
      </w:r>
      <w:r>
        <w:rPr>
          <w:rFonts w:hint="eastAsia" w:ascii="Arial" w:hAnsi="Arial" w:eastAsia="宋体" w:cs="Arial"/>
          <w:i w:val="0"/>
          <w:color w:val="000000"/>
          <w:kern w:val="0"/>
          <w:sz w:val="24"/>
          <w:szCs w:val="24"/>
          <w:u w:val="none"/>
          <w:lang w:val="en-US" w:eastAsia="zh-CN" w:bidi="ar"/>
        </w:rPr>
        <w:t>。</w:t>
      </w:r>
    </w:p>
    <w:p>
      <w:pPr>
        <w:numPr>
          <w:ilvl w:val="0"/>
          <w:numId w:val="0"/>
        </w:numPr>
        <w:spacing w:line="360" w:lineRule="auto"/>
        <w:jc w:val="left"/>
        <w:rPr>
          <w:rFonts w:hint="eastAsia" w:asciiTheme="minorEastAsia" w:hAnsiTheme="minorEastAsia"/>
          <w:sz w:val="24"/>
          <w:szCs w:val="24"/>
          <w:lang w:val="en-US" w:eastAsia="zh-CN"/>
        </w:rPr>
      </w:pPr>
      <w:r>
        <w:rPr>
          <w:rFonts w:hint="eastAsia" w:ascii="Arial" w:hAnsi="Arial" w:eastAsia="宋体" w:cs="Arial"/>
          <w:i w:val="0"/>
          <w:color w:val="000000"/>
          <w:kern w:val="0"/>
          <w:sz w:val="24"/>
          <w:szCs w:val="24"/>
          <w:u w:val="none"/>
          <w:lang w:val="en-US" w:eastAsia="zh-CN" w:bidi="ar"/>
        </w:rPr>
        <w:t>（三）由中标服务商</w:t>
      </w:r>
      <w:r>
        <w:rPr>
          <w:rFonts w:hint="eastAsia" w:asciiTheme="minorEastAsia" w:hAnsiTheme="minorEastAsia"/>
          <w:sz w:val="24"/>
          <w:szCs w:val="24"/>
          <w:lang w:val="en-US" w:eastAsia="zh-CN"/>
        </w:rPr>
        <w:t>支付由此产生的水电费用及后期维护费用。如学校搬迁，设备重新安装调试及水电管施工，费用由</w:t>
      </w:r>
      <w:r>
        <w:rPr>
          <w:rFonts w:hint="eastAsia" w:ascii="Arial" w:hAnsi="Arial" w:eastAsia="宋体" w:cs="Arial"/>
          <w:i w:val="0"/>
          <w:color w:val="000000"/>
          <w:kern w:val="0"/>
          <w:sz w:val="24"/>
          <w:szCs w:val="24"/>
          <w:u w:val="none"/>
          <w:lang w:val="en-US" w:eastAsia="zh-CN" w:bidi="ar"/>
        </w:rPr>
        <w:t>中标服务商全部负责。</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（四）能和校园一卡通无缝对接使用。并配有废水回收设备，用于日常绿化浇灌。</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（五）学生用水按计量计费。需给予学生大力优惠，参考价为热水费在0.6元/升以下，冷水费在0.55元/升以下。服务方自报优惠率</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u w:val="none"/>
          <w:lang w:val="en-US" w:eastAsia="zh-CN"/>
        </w:rPr>
        <w:t>并报价。</w:t>
      </w:r>
      <w:r>
        <w:rPr>
          <w:rFonts w:hint="eastAsia" w:asciiTheme="minorEastAsia" w:hAnsiTheme="minorEastAsia"/>
          <w:sz w:val="24"/>
          <w:szCs w:val="24"/>
          <w:lang w:val="en-US" w:eastAsia="zh-CN"/>
        </w:rPr>
        <w:t xml:space="preserve">  </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（六）因饮用直饮水产生的健康安全问题，由中标方承担。中标方需支付5万元保证金并购买100万元的用水保险。</w:t>
      </w:r>
    </w:p>
    <w:p>
      <w:pPr>
        <w:numPr>
          <w:ilvl w:val="0"/>
          <w:numId w:val="0"/>
        </w:numPr>
        <w:spacing w:line="360" w:lineRule="auto"/>
        <w:jc w:val="left"/>
        <w:rPr>
          <w:rFonts w:hint="eastAsia"/>
          <w:sz w:val="24"/>
          <w:szCs w:val="24"/>
          <w:lang w:val="en-US" w:eastAsia="zh-CN"/>
        </w:rPr>
      </w:pPr>
      <w:r>
        <w:rPr>
          <w:rFonts w:hint="eastAsia" w:asciiTheme="minorEastAsia" w:hAnsiTheme="minorEastAsia"/>
          <w:sz w:val="24"/>
          <w:szCs w:val="24"/>
          <w:lang w:val="en-US" w:eastAsia="zh-CN"/>
        </w:rPr>
        <w:t>（七）中标方需遵守学校管理。若因中标方人员行为不当造成的一切损失由中标方全部负责。</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（八）主设备安装场地位于地下室楼梯间（大小约35平米），装修改造设备安装费用中标方自理。</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（九）合同一年一签。一年后经考核，无违规、投诉等情况可续签。</w:t>
      </w:r>
    </w:p>
    <w:p>
      <w:pPr>
        <w:pStyle w:val="2"/>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2"/>
          <w:sz w:val="24"/>
          <w:szCs w:val="24"/>
          <w:lang w:val="en-US" w:eastAsia="zh-CN" w:bidi="ar-SA"/>
          <w14:textFill>
            <w14:solidFill>
              <w14:schemeClr w14:val="tx1"/>
            </w14:solidFill>
          </w14:textFill>
        </w:rPr>
        <w:t>（十）</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该设施设备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最短施工期是</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日历天；使用周期是</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年，质保年限为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服务方承诺使用期间，定期进行免费维修，至少每6个月免费维修1次。</w:t>
      </w:r>
      <w:bookmarkStart w:id="0" w:name="_Toc8123093"/>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发生设备、配件故障或损坏时，服务方需在2小时内进行响应，小故障8小时内维修完成，大故障48小时内维修完成，保证正常使用。</w:t>
      </w:r>
      <w:bookmarkEnd w:id="0"/>
    </w:p>
    <w:p>
      <w:pPr>
        <w:pStyle w:val="2"/>
        <w:jc w:val="both"/>
        <w:rPr>
          <w:rFonts w:hint="eastAsia"/>
          <w:color w:val="000000" w:themeColor="text1"/>
          <w:sz w:val="24"/>
          <w:szCs w:val="24"/>
          <w:lang w:val="en-US" w:eastAsia="zh-CN"/>
          <w14:textFill>
            <w14:solidFill>
              <w14:schemeClr w14:val="tx1"/>
            </w14:solidFill>
          </w14:textFill>
        </w:rPr>
      </w:pPr>
      <w:r>
        <w:rPr>
          <w:rFonts w:hint="eastAsia" w:cstheme="minorBidi"/>
          <w:b w:val="0"/>
          <w:bCs w:val="0"/>
          <w:color w:val="000000" w:themeColor="text1"/>
          <w:kern w:val="2"/>
          <w:sz w:val="24"/>
          <w:szCs w:val="24"/>
          <w:lang w:val="en-US" w:eastAsia="zh-CN" w:bidi="ar-SA"/>
          <w14:textFill>
            <w14:solidFill>
              <w14:schemeClr w14:val="tx1"/>
            </w14:solidFill>
          </w14:textFill>
        </w:rPr>
        <w:t>二、</w:t>
      </w:r>
      <w:r>
        <w:rPr>
          <w:rFonts w:hint="eastAsia"/>
          <w:color w:val="000000" w:themeColor="text1"/>
          <w:sz w:val="24"/>
          <w:szCs w:val="24"/>
          <w:lang w:val="en-US" w:eastAsia="zh-CN"/>
          <w14:textFill>
            <w14:solidFill>
              <w14:schemeClr w14:val="tx1"/>
            </w14:solidFill>
          </w14:textFill>
        </w:rPr>
        <w:t>评审办法说明</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本办法采用综合评估打分法，评标时应先评技术标后评商务标，对通过资格评审的磋商响应文件的技术、商务部分分别按照百分制打分方法打分后，再按下列公式计算出各供应商的综合得分。</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Z＝S＋J</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其中：</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Z：指供应商的最后得分；</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S：指供应商的商务部分得分；</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J：指供应商的技术部分得分。</w:t>
      </w:r>
    </w:p>
    <w:p>
      <w:pPr>
        <w:pStyle w:val="2"/>
        <w:numPr>
          <w:ilvl w:val="0"/>
          <w:numId w:val="1"/>
        </w:numPr>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服务及货物报价即商务S得分（40分）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1、本次竞争性磋商允许二次报价。供应商的二次报价即为最终报价。商务部分评审以供应商二次报价为准。</w:t>
      </w:r>
    </w:p>
    <w:p>
      <w:pPr>
        <w:shd w:val="clear" w:color="auto" w:fill="FFFFFF"/>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2、综合评分法中的价格分统一采用低价优先法计算，即满足竞争性磋商文件要求且最后报价最低的供应商的价格为磋商基准价，其价格分为满分。其他供应商的价格分统一按照下列公式计算：</w:t>
      </w:r>
    </w:p>
    <w:p>
      <w:pPr>
        <w:widowControl/>
        <w:shd w:val="clear" w:color="auto" w:fill="FFFFFF"/>
        <w:spacing w:line="360" w:lineRule="auto"/>
        <w:ind w:firstLine="480" w:firstLineChars="200"/>
        <w:jc w:val="left"/>
        <w:rPr>
          <w:rFonts w:hint="eastAsia"/>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磋商报价得分=（磋商基准价/最后磋商报价）×</w:t>
      </w:r>
      <w:r>
        <w:rPr>
          <w:rFonts w:hint="eastAsia"/>
          <w:color w:val="000000" w:themeColor="text1"/>
          <w:sz w:val="24"/>
          <w:szCs w:val="24"/>
          <w:lang w:val="en-US" w:eastAsia="zh-CN"/>
          <w14:textFill>
            <w14:solidFill>
              <w14:schemeClr w14:val="tx1"/>
            </w14:solidFill>
          </w14:textFill>
        </w:rPr>
        <w:t>4</w:t>
      </w:r>
      <w:r>
        <w:rPr>
          <w:color w:val="000000" w:themeColor="text1"/>
          <w:sz w:val="24"/>
          <w:szCs w:val="24"/>
          <w14:textFill>
            <w14:solidFill>
              <w14:schemeClr w14:val="tx1"/>
            </w14:solidFill>
          </w14:textFill>
        </w:rPr>
        <w:t>0</w:t>
      </w:r>
    </w:p>
    <w:p>
      <w:pPr>
        <w:pStyle w:val="2"/>
        <w:numPr>
          <w:ilvl w:val="0"/>
          <w:numId w:val="1"/>
        </w:numPr>
        <w:ind w:left="0" w:leftChars="0" w:firstLine="0" w:firstLineChars="0"/>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技术J得分（60分）</w:t>
      </w:r>
    </w:p>
    <w:p>
      <w:pPr>
        <w:pStyle w:val="2"/>
        <w:numPr>
          <w:ilvl w:val="0"/>
          <w:numId w:val="0"/>
        </w:numPr>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1、产品品牌及技术参数（20分）（填表1）</w:t>
      </w:r>
    </w:p>
    <w:p>
      <w:pPr>
        <w:pStyle w:val="2"/>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表1  产品品牌及参数表</w:t>
      </w:r>
    </w:p>
    <w:tbl>
      <w:tblPr>
        <w:tblStyle w:val="8"/>
        <w:tblW w:w="79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1"/>
        <w:gridCol w:w="1514"/>
        <w:gridCol w:w="3055"/>
        <w:gridCol w:w="2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601" w:type="dxa"/>
            <w:noWrap w:val="0"/>
            <w:vAlign w:val="center"/>
          </w:tcPr>
          <w:p>
            <w:pPr>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序号</w:t>
            </w:r>
          </w:p>
        </w:tc>
        <w:tc>
          <w:tcPr>
            <w:tcW w:w="1514" w:type="dxa"/>
            <w:noWrap w:val="0"/>
            <w:vAlign w:val="center"/>
          </w:tcPr>
          <w:p>
            <w:pPr>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货物（产品）名称</w:t>
            </w:r>
          </w:p>
        </w:tc>
        <w:tc>
          <w:tcPr>
            <w:tcW w:w="3055" w:type="dxa"/>
            <w:noWrap w:val="0"/>
            <w:vAlign w:val="center"/>
          </w:tcPr>
          <w:p>
            <w:pPr>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所投品牌、产地、型号、技术参数及配置</w:t>
            </w:r>
          </w:p>
        </w:tc>
        <w:tc>
          <w:tcPr>
            <w:tcW w:w="2800" w:type="dxa"/>
            <w:noWrap w:val="0"/>
            <w:vAlign w:val="center"/>
          </w:tcPr>
          <w:p>
            <w:pPr>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jc w:val="center"/>
        </w:trPr>
        <w:tc>
          <w:tcPr>
            <w:tcW w:w="601" w:type="dxa"/>
            <w:noWrap w:val="0"/>
            <w:vAlign w:val="center"/>
          </w:tcPr>
          <w:p>
            <w:pPr>
              <w:spacing w:line="360" w:lineRule="auto"/>
              <w:jc w:val="center"/>
              <w:rPr>
                <w:color w:val="000000" w:themeColor="text1"/>
                <w:sz w:val="24"/>
                <w:szCs w:val="24"/>
                <w14:textFill>
                  <w14:solidFill>
                    <w14:schemeClr w14:val="tx1"/>
                  </w14:solidFill>
                </w14:textFill>
              </w:rPr>
            </w:pPr>
          </w:p>
        </w:tc>
        <w:tc>
          <w:tcPr>
            <w:tcW w:w="1514" w:type="dxa"/>
            <w:noWrap w:val="0"/>
            <w:vAlign w:val="center"/>
          </w:tcPr>
          <w:p>
            <w:pPr>
              <w:spacing w:line="360" w:lineRule="auto"/>
              <w:jc w:val="center"/>
              <w:rPr>
                <w:color w:val="000000" w:themeColor="text1"/>
                <w:sz w:val="24"/>
                <w:szCs w:val="24"/>
                <w14:textFill>
                  <w14:solidFill>
                    <w14:schemeClr w14:val="tx1"/>
                  </w14:solidFill>
                </w14:textFill>
              </w:rPr>
            </w:pPr>
          </w:p>
        </w:tc>
        <w:tc>
          <w:tcPr>
            <w:tcW w:w="3055" w:type="dxa"/>
            <w:noWrap w:val="0"/>
            <w:vAlign w:val="center"/>
          </w:tcPr>
          <w:p>
            <w:pPr>
              <w:spacing w:line="360" w:lineRule="auto"/>
              <w:jc w:val="center"/>
              <w:rPr>
                <w:color w:val="000000" w:themeColor="text1"/>
                <w:sz w:val="24"/>
                <w:szCs w:val="24"/>
                <w14:textFill>
                  <w14:solidFill>
                    <w14:schemeClr w14:val="tx1"/>
                  </w14:solidFill>
                </w14:textFill>
              </w:rPr>
            </w:pPr>
          </w:p>
        </w:tc>
        <w:tc>
          <w:tcPr>
            <w:tcW w:w="2800" w:type="dxa"/>
            <w:noWrap w:val="0"/>
            <w:vAlign w:val="center"/>
          </w:tcPr>
          <w:p>
            <w:pPr>
              <w:spacing w:line="360" w:lineRule="auto"/>
              <w:jc w:val="center"/>
              <w:rPr>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601" w:type="dxa"/>
            <w:noWrap w:val="0"/>
            <w:vAlign w:val="center"/>
          </w:tcPr>
          <w:p>
            <w:pPr>
              <w:spacing w:line="360" w:lineRule="auto"/>
              <w:jc w:val="center"/>
              <w:rPr>
                <w:color w:val="000000" w:themeColor="text1"/>
                <w:sz w:val="24"/>
                <w:szCs w:val="24"/>
                <w14:textFill>
                  <w14:solidFill>
                    <w14:schemeClr w14:val="tx1"/>
                  </w14:solidFill>
                </w14:textFill>
              </w:rPr>
            </w:pPr>
          </w:p>
        </w:tc>
        <w:tc>
          <w:tcPr>
            <w:tcW w:w="1514" w:type="dxa"/>
            <w:noWrap w:val="0"/>
            <w:vAlign w:val="center"/>
          </w:tcPr>
          <w:p>
            <w:pPr>
              <w:spacing w:line="360" w:lineRule="auto"/>
              <w:jc w:val="center"/>
              <w:rPr>
                <w:color w:val="000000" w:themeColor="text1"/>
                <w:sz w:val="24"/>
                <w:szCs w:val="24"/>
                <w14:textFill>
                  <w14:solidFill>
                    <w14:schemeClr w14:val="tx1"/>
                  </w14:solidFill>
                </w14:textFill>
              </w:rPr>
            </w:pPr>
          </w:p>
        </w:tc>
        <w:tc>
          <w:tcPr>
            <w:tcW w:w="3055" w:type="dxa"/>
            <w:noWrap w:val="0"/>
            <w:vAlign w:val="center"/>
          </w:tcPr>
          <w:p>
            <w:pPr>
              <w:spacing w:line="360" w:lineRule="auto"/>
              <w:jc w:val="center"/>
              <w:rPr>
                <w:color w:val="000000" w:themeColor="text1"/>
                <w:sz w:val="24"/>
                <w:szCs w:val="24"/>
                <w14:textFill>
                  <w14:solidFill>
                    <w14:schemeClr w14:val="tx1"/>
                  </w14:solidFill>
                </w14:textFill>
              </w:rPr>
            </w:pPr>
          </w:p>
        </w:tc>
        <w:tc>
          <w:tcPr>
            <w:tcW w:w="2800" w:type="dxa"/>
            <w:noWrap w:val="0"/>
            <w:vAlign w:val="center"/>
          </w:tcPr>
          <w:p>
            <w:pPr>
              <w:spacing w:line="360" w:lineRule="auto"/>
              <w:jc w:val="center"/>
              <w:rPr>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 w:hRule="atLeast"/>
          <w:jc w:val="center"/>
        </w:trPr>
        <w:tc>
          <w:tcPr>
            <w:tcW w:w="601" w:type="dxa"/>
            <w:noWrap w:val="0"/>
            <w:vAlign w:val="center"/>
          </w:tcPr>
          <w:p>
            <w:pPr>
              <w:spacing w:line="360" w:lineRule="auto"/>
              <w:jc w:val="center"/>
              <w:rPr>
                <w:color w:val="000000" w:themeColor="text1"/>
                <w:sz w:val="24"/>
                <w:szCs w:val="24"/>
                <w14:textFill>
                  <w14:solidFill>
                    <w14:schemeClr w14:val="tx1"/>
                  </w14:solidFill>
                </w14:textFill>
              </w:rPr>
            </w:pPr>
          </w:p>
        </w:tc>
        <w:tc>
          <w:tcPr>
            <w:tcW w:w="1514" w:type="dxa"/>
            <w:noWrap w:val="0"/>
            <w:vAlign w:val="center"/>
          </w:tcPr>
          <w:p>
            <w:pPr>
              <w:spacing w:line="360" w:lineRule="auto"/>
              <w:jc w:val="center"/>
              <w:rPr>
                <w:color w:val="000000" w:themeColor="text1"/>
                <w:sz w:val="24"/>
                <w:szCs w:val="24"/>
                <w14:textFill>
                  <w14:solidFill>
                    <w14:schemeClr w14:val="tx1"/>
                  </w14:solidFill>
                </w14:textFill>
              </w:rPr>
            </w:pPr>
          </w:p>
        </w:tc>
        <w:tc>
          <w:tcPr>
            <w:tcW w:w="3055" w:type="dxa"/>
            <w:noWrap w:val="0"/>
            <w:vAlign w:val="center"/>
          </w:tcPr>
          <w:p>
            <w:pPr>
              <w:spacing w:line="360" w:lineRule="auto"/>
              <w:jc w:val="center"/>
              <w:rPr>
                <w:color w:val="000000" w:themeColor="text1"/>
                <w:sz w:val="24"/>
                <w:szCs w:val="24"/>
                <w14:textFill>
                  <w14:solidFill>
                    <w14:schemeClr w14:val="tx1"/>
                  </w14:solidFill>
                </w14:textFill>
              </w:rPr>
            </w:pPr>
          </w:p>
        </w:tc>
        <w:tc>
          <w:tcPr>
            <w:tcW w:w="2800" w:type="dxa"/>
            <w:noWrap w:val="0"/>
            <w:vAlign w:val="center"/>
          </w:tcPr>
          <w:p>
            <w:pPr>
              <w:spacing w:line="360" w:lineRule="auto"/>
              <w:jc w:val="center"/>
              <w:rPr>
                <w:color w:val="000000" w:themeColor="text1"/>
                <w:sz w:val="24"/>
                <w:szCs w:val="24"/>
                <w14:textFill>
                  <w14:solidFill>
                    <w14:schemeClr w14:val="tx1"/>
                  </w14:solidFill>
                </w14:textFill>
              </w:rPr>
            </w:pPr>
          </w:p>
        </w:tc>
      </w:tr>
    </w:tbl>
    <w:p>
      <w:pPr>
        <w:pStyle w:val="2"/>
        <w:jc w:val="both"/>
        <w:rPr>
          <w:rFonts w:hint="eastAsia"/>
          <w:color w:val="000000" w:themeColor="text1"/>
          <w:sz w:val="24"/>
          <w:szCs w:val="24"/>
          <w:lang w:val="en-US" w:eastAsia="zh-CN"/>
          <w14:textFill>
            <w14:solidFill>
              <w14:schemeClr w14:val="tx1"/>
            </w14:solidFill>
          </w14:textFill>
        </w:rPr>
      </w:pPr>
    </w:p>
    <w:p>
      <w:pPr>
        <w:pStyle w:val="2"/>
        <w:numPr>
          <w:ilvl w:val="0"/>
          <w:numId w:val="2"/>
        </w:numPr>
        <w:jc w:val="both"/>
        <w:rPr>
          <w:rFonts w:hint="eastAsia" w:ascii="宋体" w:hAnsi="宋体"/>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产品品牌市场占有率较高，参数规格充分满足要求，有出产报告和质检报告，</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13</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p>
      <w:pPr>
        <w:pStyle w:val="2"/>
        <w:numPr>
          <w:ilvl w:val="0"/>
          <w:numId w:val="2"/>
        </w:numPr>
        <w:jc w:val="both"/>
        <w:rPr>
          <w:rFonts w:hint="eastAsia" w:ascii="宋体" w:hAnsi="宋体"/>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产品品牌市场占有率一般，参数规格满足要求，有出产报告和质检报告，</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分；</w:t>
      </w:r>
    </w:p>
    <w:p>
      <w:pPr>
        <w:pStyle w:val="2"/>
        <w:numPr>
          <w:ilvl w:val="0"/>
          <w:numId w:val="2"/>
        </w:numPr>
        <w:jc w:val="both"/>
        <w:rPr>
          <w:rFonts w:hint="eastAsia" w:ascii="宋体" w:hAnsi="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产品品牌市场知名度较低，参数规格满足要求，无出产报告和质检报告，</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分；</w:t>
      </w:r>
    </w:p>
    <w:p>
      <w:pPr>
        <w:pStyle w:val="2"/>
        <w:numPr>
          <w:ilvl w:val="0"/>
          <w:numId w:val="3"/>
        </w:numPr>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施工方案的合理性和可行性（15分）</w:t>
      </w:r>
    </w:p>
    <w:p>
      <w:pPr>
        <w:pStyle w:val="5"/>
        <w:numPr>
          <w:ilvl w:val="0"/>
          <w:numId w:val="0"/>
        </w:numPr>
        <w:spacing w:line="480" w:lineRule="exact"/>
        <w:ind w:left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施工</w:t>
      </w:r>
      <w:r>
        <w:rPr>
          <w:rFonts w:hint="eastAsia" w:ascii="宋体" w:hAnsi="宋体"/>
          <w:color w:val="000000" w:themeColor="text1"/>
          <w:sz w:val="24"/>
          <w:szCs w:val="24"/>
          <w:lang w:eastAsia="zh-CN"/>
          <w14:textFill>
            <w14:solidFill>
              <w14:schemeClr w14:val="tx1"/>
            </w14:solidFill>
          </w14:textFill>
        </w:rPr>
        <w:t>方案清晰完整，</w:t>
      </w:r>
      <w:r>
        <w:rPr>
          <w:rFonts w:hint="eastAsia" w:ascii="宋体" w:hAnsi="宋体"/>
          <w:color w:val="000000" w:themeColor="text1"/>
          <w:sz w:val="24"/>
          <w:szCs w:val="24"/>
          <w14:textFill>
            <w14:solidFill>
              <w14:schemeClr w14:val="tx1"/>
            </w14:solidFill>
          </w14:textFill>
        </w:rPr>
        <w:t>针对性较强</w:t>
      </w:r>
      <w:r>
        <w:rPr>
          <w:rFonts w:hint="eastAsia" w:ascii="宋体" w:hAnsi="宋体"/>
          <w:color w:val="000000" w:themeColor="text1"/>
          <w:sz w:val="24"/>
          <w:szCs w:val="24"/>
          <w:lang w:eastAsia="zh-CN"/>
          <w14:textFill>
            <w14:solidFill>
              <w14:schemeClr w14:val="tx1"/>
            </w14:solidFill>
          </w14:textFill>
        </w:rPr>
        <w:t>，服务措施、手段齐全，进度及时间安排合理，人员配置得当，文件编制规范整洁，</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分；</w:t>
      </w:r>
    </w:p>
    <w:p>
      <w:pPr>
        <w:pStyle w:val="5"/>
        <w:numPr>
          <w:ilvl w:val="0"/>
          <w:numId w:val="0"/>
        </w:numPr>
        <w:spacing w:line="480" w:lineRule="exact"/>
        <w:ind w:left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）服务方案比较清晰完整，有</w:t>
      </w:r>
      <w:r>
        <w:rPr>
          <w:rFonts w:hint="eastAsia" w:ascii="宋体" w:hAnsi="宋体"/>
          <w:color w:val="000000" w:themeColor="text1"/>
          <w:sz w:val="24"/>
          <w:szCs w:val="24"/>
          <w14:textFill>
            <w14:solidFill>
              <w14:schemeClr w14:val="tx1"/>
            </w14:solidFill>
          </w14:textFill>
        </w:rPr>
        <w:t>针对性</w:t>
      </w:r>
      <w:r>
        <w:rPr>
          <w:rFonts w:hint="eastAsia" w:ascii="宋体" w:hAnsi="宋体"/>
          <w:color w:val="000000" w:themeColor="text1"/>
          <w:sz w:val="24"/>
          <w:szCs w:val="24"/>
          <w:lang w:eastAsia="zh-CN"/>
          <w14:textFill>
            <w14:solidFill>
              <w14:schemeClr w14:val="tx1"/>
            </w14:solidFill>
          </w14:textFill>
        </w:rPr>
        <w:t>，服务措施、手段基本齐全，进度及时间安排较合理，人员配置较得当，文件编制较规范整洁，</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分；</w:t>
      </w:r>
    </w:p>
    <w:p>
      <w:pPr>
        <w:pStyle w:val="5"/>
        <w:numPr>
          <w:ilvl w:val="0"/>
          <w:numId w:val="0"/>
        </w:numPr>
        <w:spacing w:line="480" w:lineRule="exact"/>
        <w:ind w:leftChars="0"/>
        <w:rPr>
          <w:rFonts w:hint="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）服务方案不够清晰完整，</w:t>
      </w:r>
      <w:r>
        <w:rPr>
          <w:rFonts w:hint="eastAsia" w:ascii="宋体" w:hAnsi="宋体"/>
          <w:color w:val="000000" w:themeColor="text1"/>
          <w:sz w:val="24"/>
          <w:szCs w:val="24"/>
          <w14:textFill>
            <w14:solidFill>
              <w14:schemeClr w14:val="tx1"/>
            </w14:solidFill>
          </w14:textFill>
        </w:rPr>
        <w:t>针对性</w:t>
      </w:r>
      <w:r>
        <w:rPr>
          <w:rFonts w:hint="eastAsia" w:ascii="宋体" w:hAnsi="宋体"/>
          <w:color w:val="000000" w:themeColor="text1"/>
          <w:sz w:val="24"/>
          <w:szCs w:val="24"/>
          <w:lang w:eastAsia="zh-CN"/>
          <w14:textFill>
            <w14:solidFill>
              <w14:schemeClr w14:val="tx1"/>
            </w14:solidFill>
          </w14:textFill>
        </w:rPr>
        <w:t>不够，服务措施、手段不齐全，进度及时间安排有不足，人员配置不够，文件编制不符合规范整洁要求，</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eastAsia="zh-CN"/>
          <w14:textFill>
            <w14:solidFill>
              <w14:schemeClr w14:val="tx1"/>
            </w14:solidFill>
          </w14:textFill>
        </w:rPr>
        <w:t>；</w:t>
      </w:r>
    </w:p>
    <w:p>
      <w:pPr>
        <w:pStyle w:val="5"/>
        <w:numPr>
          <w:ilvl w:val="0"/>
          <w:numId w:val="0"/>
        </w:numPr>
        <w:spacing w:line="480" w:lineRule="exact"/>
        <w:ind w:left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lang w:eastAsia="zh-CN"/>
          <w14:textFill>
            <w14:solidFill>
              <w14:schemeClr w14:val="tx1"/>
            </w14:solidFill>
          </w14:textFill>
        </w:rPr>
        <w:t>）服务方案不完整，无针对性，服务措施、手段不齐全，进度及时间安排不合理，人员配置不当，文件编制不规范，得</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分；</w:t>
      </w:r>
    </w:p>
    <w:p>
      <w:pPr>
        <w:pStyle w:val="5"/>
        <w:numPr>
          <w:ilvl w:val="0"/>
          <w:numId w:val="0"/>
        </w:numPr>
        <w:spacing w:line="480" w:lineRule="exact"/>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4、保险和押金承诺（</w:t>
      </w:r>
      <w:r>
        <w:rPr>
          <w:rFonts w:hint="eastAsia"/>
          <w:b/>
          <w:bCs/>
          <w:color w:val="000000" w:themeColor="text1"/>
          <w:sz w:val="24"/>
          <w:szCs w:val="24"/>
          <w:lang w:val="en-US" w:eastAsia="zh-CN"/>
          <w14:textFill>
            <w14:solidFill>
              <w14:schemeClr w14:val="tx1"/>
            </w14:solidFill>
          </w14:textFill>
        </w:rPr>
        <w:t>15分</w:t>
      </w:r>
      <w:r>
        <w:rPr>
          <w:rFonts w:hint="eastAsia" w:ascii="宋体" w:hAnsi="宋体"/>
          <w:color w:val="000000" w:themeColor="text1"/>
          <w:sz w:val="24"/>
          <w:szCs w:val="24"/>
          <w:lang w:val="en-US" w:eastAsia="zh-CN"/>
          <w14:textFill>
            <w14:solidFill>
              <w14:schemeClr w14:val="tx1"/>
            </w14:solidFill>
          </w14:textFill>
        </w:rPr>
        <w:t>）</w:t>
      </w:r>
    </w:p>
    <w:p>
      <w:pPr>
        <w:pStyle w:val="5"/>
        <w:numPr>
          <w:ilvl w:val="0"/>
          <w:numId w:val="0"/>
        </w:numPr>
        <w:spacing w:line="480" w:lineRule="exact"/>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（1）保险和押金承诺充分，全面，有实施保障手段，</w:t>
      </w:r>
      <w:r>
        <w:rPr>
          <w:rFonts w:hint="eastAsia" w:ascii="宋体" w:hAnsi="宋体"/>
          <w:color w:val="000000" w:themeColor="text1"/>
          <w:sz w:val="24"/>
          <w:szCs w:val="24"/>
          <w:lang w:eastAsia="zh-CN"/>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val="en-US" w:eastAsia="zh-CN"/>
          <w14:textFill>
            <w14:solidFill>
              <w14:schemeClr w14:val="tx1"/>
            </w14:solidFill>
          </w14:textFill>
        </w:rPr>
        <w:t>；</w:t>
      </w:r>
    </w:p>
    <w:p>
      <w:pPr>
        <w:pStyle w:val="5"/>
        <w:numPr>
          <w:ilvl w:val="0"/>
          <w:numId w:val="0"/>
        </w:numPr>
        <w:spacing w:line="480" w:lineRule="exact"/>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（2）有保险和押金承诺，但不充分，全面，有实施保障手段，</w:t>
      </w:r>
      <w:r>
        <w:rPr>
          <w:rFonts w:hint="eastAsia" w:ascii="宋体" w:hAnsi="宋体"/>
          <w:color w:val="000000" w:themeColor="text1"/>
          <w:sz w:val="24"/>
          <w:szCs w:val="24"/>
          <w:lang w:eastAsia="zh-CN"/>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val="en-US" w:eastAsia="zh-CN"/>
          <w14:textFill>
            <w14:solidFill>
              <w14:schemeClr w14:val="tx1"/>
            </w14:solidFill>
          </w14:textFill>
        </w:rPr>
        <w:t>；</w:t>
      </w:r>
    </w:p>
    <w:p>
      <w:pPr>
        <w:pStyle w:val="5"/>
        <w:numPr>
          <w:ilvl w:val="0"/>
          <w:numId w:val="0"/>
        </w:numPr>
        <w:spacing w:line="480" w:lineRule="exact"/>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（3）无充分，全面的保险和押金承诺无实施保障手段，</w:t>
      </w:r>
      <w:r>
        <w:rPr>
          <w:rFonts w:hint="eastAsia" w:ascii="宋体" w:hAnsi="宋体"/>
          <w:color w:val="000000" w:themeColor="text1"/>
          <w:sz w:val="24"/>
          <w:szCs w:val="24"/>
          <w:lang w:eastAsia="zh-CN"/>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val="en-US" w:eastAsia="zh-CN"/>
          <w14:textFill>
            <w14:solidFill>
              <w14:schemeClr w14:val="tx1"/>
            </w14:solidFill>
          </w14:textFill>
        </w:rPr>
        <w:t>；</w:t>
      </w:r>
    </w:p>
    <w:p>
      <w:pPr>
        <w:pStyle w:val="2"/>
        <w:numPr>
          <w:ilvl w:val="0"/>
          <w:numId w:val="3"/>
        </w:numPr>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设备巡检承诺的合理性和科学性（5分）</w:t>
      </w:r>
    </w:p>
    <w:p>
      <w:pPr>
        <w:pStyle w:val="5"/>
        <w:numPr>
          <w:ilvl w:val="0"/>
          <w:numId w:val="0"/>
        </w:numPr>
        <w:spacing w:line="480" w:lineRule="exact"/>
        <w:ind w:left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lang w:eastAsia="zh-CN"/>
          <w14:textFill>
            <w14:solidFill>
              <w14:schemeClr w14:val="tx1"/>
            </w14:solidFill>
          </w14:textFill>
        </w:rPr>
        <w:t>）承诺定期进行设备巡检和维护，定期对软件系统进行升级，时间设置合理，人员配置合理，响应快速，得</w:t>
      </w:r>
      <w:r>
        <w:rPr>
          <w:rFonts w:hint="eastAsia" w:ascii="宋体" w:hAnsi="宋体"/>
          <w:color w:val="000000" w:themeColor="text1"/>
          <w:sz w:val="24"/>
          <w:szCs w:val="24"/>
          <w:lang w:val="en-US" w:eastAsia="zh-CN"/>
          <w14:textFill>
            <w14:solidFill>
              <w14:schemeClr w14:val="tx1"/>
            </w14:solidFill>
          </w14:textFill>
        </w:rPr>
        <w:t>4-5分；</w:t>
      </w:r>
    </w:p>
    <w:p>
      <w:pPr>
        <w:pStyle w:val="5"/>
        <w:numPr>
          <w:ilvl w:val="0"/>
          <w:numId w:val="0"/>
        </w:numPr>
        <w:spacing w:line="480" w:lineRule="exact"/>
        <w:ind w:left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）承诺定期进行设备巡检和维护，定期对软件系统进行升级，时间设置可以，人员配置可以，尽快响应，得</w:t>
      </w:r>
      <w:r>
        <w:rPr>
          <w:rFonts w:hint="eastAsia" w:ascii="宋体" w:hAnsi="宋体"/>
          <w:color w:val="000000" w:themeColor="text1"/>
          <w:sz w:val="24"/>
          <w:szCs w:val="24"/>
          <w:lang w:val="en-US" w:eastAsia="zh-CN"/>
          <w14:textFill>
            <w14:solidFill>
              <w14:schemeClr w14:val="tx1"/>
            </w14:solidFill>
          </w14:textFill>
        </w:rPr>
        <w:t>2-3分</w:t>
      </w:r>
      <w:r>
        <w:rPr>
          <w:rFonts w:hint="eastAsia" w:ascii="宋体" w:hAnsi="宋体"/>
          <w:color w:val="000000" w:themeColor="text1"/>
          <w:sz w:val="24"/>
          <w:szCs w:val="24"/>
          <w14:textFill>
            <w14:solidFill>
              <w14:schemeClr w14:val="tx1"/>
            </w14:solidFill>
          </w14:textFill>
        </w:rPr>
        <w:t>；</w:t>
      </w:r>
    </w:p>
    <w:p>
      <w:pPr>
        <w:pStyle w:val="5"/>
        <w:numPr>
          <w:ilvl w:val="0"/>
          <w:numId w:val="0"/>
        </w:numPr>
        <w:spacing w:line="480" w:lineRule="exact"/>
        <w:ind w:leftChars="0"/>
        <w:rPr>
          <w:rFonts w:hint="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）未充分承诺定期进行设备巡检和维护，定期对软件系统进行升级，时间设置，人员配置不明确，响应未体现，得</w:t>
      </w:r>
      <w:r>
        <w:rPr>
          <w:rFonts w:hint="eastAsia" w:ascii="宋体" w:hAnsi="宋体"/>
          <w:color w:val="000000" w:themeColor="text1"/>
          <w:sz w:val="24"/>
          <w:szCs w:val="24"/>
          <w:lang w:val="en-US" w:eastAsia="zh-CN"/>
          <w14:textFill>
            <w14:solidFill>
              <w14:schemeClr w14:val="tx1"/>
            </w14:solidFill>
          </w14:textFill>
        </w:rPr>
        <w:t>0-1分</w:t>
      </w:r>
      <w:r>
        <w:rPr>
          <w:rFonts w:hint="eastAsia" w:ascii="宋体" w:hAnsi="宋体"/>
          <w:color w:val="000000" w:themeColor="text1"/>
          <w:sz w:val="24"/>
          <w:szCs w:val="24"/>
          <w14:textFill>
            <w14:solidFill>
              <w14:schemeClr w14:val="tx1"/>
            </w14:solidFill>
          </w14:textFill>
        </w:rPr>
        <w:t>；</w:t>
      </w:r>
    </w:p>
    <w:p>
      <w:pPr>
        <w:pStyle w:val="2"/>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4、相关案例和合同（5分）</w:t>
      </w:r>
    </w:p>
    <w:p>
      <w:pPr>
        <w:pStyle w:val="5"/>
        <w:spacing w:line="480" w:lineRule="exact"/>
        <w:ind w:left="0" w:leftChars="0" w:firstLine="480" w:firstLineChars="200"/>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满足资格条件的类似项目业绩得基本分</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分，每增加一项类似项目业绩加</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分，加满为止。</w:t>
      </w:r>
      <w:r>
        <w:rPr>
          <w:rFonts w:hint="eastAsia" w:ascii="宋体" w:hAnsi="宋体"/>
          <w:color w:val="000000" w:themeColor="text1"/>
          <w:sz w:val="24"/>
          <w:szCs w:val="24"/>
          <w:lang w:eastAsia="zh-CN"/>
          <w14:textFill>
            <w14:solidFill>
              <w14:schemeClr w14:val="tx1"/>
            </w14:solidFill>
          </w14:textFill>
        </w:rPr>
        <w:t>合同以盖章签字和配中标通知书为准。</w:t>
      </w:r>
    </w:p>
    <w:p>
      <w:pPr>
        <w:pStyle w:val="2"/>
        <w:jc w:val="both"/>
        <w:rPr>
          <w:rFonts w:hint="eastAsia"/>
          <w:color w:val="000000" w:themeColor="text1"/>
          <w:sz w:val="24"/>
          <w:szCs w:val="24"/>
          <w:lang w:val="en-US" w:eastAsia="zh-CN"/>
          <w14:textFill>
            <w14:solidFill>
              <w14:schemeClr w14:val="tx1"/>
            </w14:solidFill>
          </w14:textFill>
        </w:rPr>
      </w:pPr>
    </w:p>
    <w:p>
      <w:pPr>
        <w:widowControl/>
        <w:spacing w:before="100" w:beforeAutospacing="1" w:after="100" w:afterAutospacing="1" w:line="440" w:lineRule="exact"/>
        <w:jc w:val="center"/>
        <w:rPr>
          <w:rFonts w:hint="eastAsia" w:ascii="宋体" w:hAnsi="宋体"/>
          <w:color w:val="000000" w:themeColor="text1"/>
          <w:sz w:val="24"/>
          <w:szCs w:val="24"/>
          <w:lang w:val="en-US" w:eastAsia="zh-CN"/>
          <w14:textFill>
            <w14:solidFill>
              <w14:schemeClr w14:val="tx1"/>
            </w14:solidFill>
          </w14:textFill>
        </w:rPr>
      </w:pPr>
    </w:p>
    <w:p>
      <w:pPr>
        <w:widowControl/>
        <w:spacing w:before="100" w:beforeAutospacing="1" w:after="100" w:afterAutospacing="1" w:line="440" w:lineRule="exact"/>
        <w:jc w:val="center"/>
        <w:rPr>
          <w:rFonts w:hint="eastAsia" w:ascii="宋体" w:hAnsi="宋体"/>
          <w:color w:val="000000" w:themeColor="text1"/>
          <w:sz w:val="24"/>
          <w:szCs w:val="24"/>
          <w:lang w:val="en-US" w:eastAsia="zh-CN"/>
          <w14:textFill>
            <w14:solidFill>
              <w14:schemeClr w14:val="tx1"/>
            </w14:solidFill>
          </w14:textFill>
        </w:rPr>
      </w:pPr>
    </w:p>
    <w:p>
      <w:pPr>
        <w:widowControl/>
        <w:spacing w:before="100" w:beforeAutospacing="1" w:after="100" w:afterAutospacing="1" w:line="440" w:lineRule="exact"/>
        <w:jc w:val="center"/>
        <w:rPr>
          <w:rFonts w:hint="eastAsia" w:ascii="宋体" w:hAnsi="宋体"/>
          <w:color w:val="000000" w:themeColor="text1"/>
          <w:sz w:val="24"/>
          <w:szCs w:val="24"/>
          <w:lang w:val="en-US" w:eastAsia="zh-CN"/>
          <w14:textFill>
            <w14:solidFill>
              <w14:schemeClr w14:val="tx1"/>
            </w14:solidFill>
          </w14:textFill>
        </w:rPr>
      </w:pPr>
    </w:p>
    <w:p>
      <w:pPr>
        <w:widowControl/>
        <w:spacing w:before="100" w:beforeAutospacing="1" w:after="100" w:afterAutospacing="1" w:line="440" w:lineRule="exact"/>
        <w:jc w:val="center"/>
        <w:rPr>
          <w:rFonts w:hint="eastAsia" w:ascii="宋体" w:hAnsi="宋体"/>
          <w:color w:val="000000" w:themeColor="text1"/>
          <w:sz w:val="24"/>
          <w:szCs w:val="24"/>
          <w:lang w:val="en-US" w:eastAsia="zh-CN"/>
          <w14:textFill>
            <w14:solidFill>
              <w14:schemeClr w14:val="tx1"/>
            </w14:solidFill>
          </w14:textFill>
        </w:rPr>
      </w:pPr>
    </w:p>
    <w:p>
      <w:pPr>
        <w:pStyle w:val="2"/>
        <w:jc w:val="both"/>
        <w:rPr>
          <w:rFonts w:hint="eastAsia"/>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BAAF9"/>
    <w:multiLevelType w:val="singleLevel"/>
    <w:tmpl w:val="B76BAAF9"/>
    <w:lvl w:ilvl="0" w:tentative="0">
      <w:start w:val="1"/>
      <w:numFmt w:val="decimal"/>
      <w:suff w:val="nothing"/>
      <w:lvlText w:val="（%1）"/>
      <w:lvlJc w:val="left"/>
    </w:lvl>
  </w:abstractNum>
  <w:abstractNum w:abstractNumId="1">
    <w:nsid w:val="1447F93D"/>
    <w:multiLevelType w:val="singleLevel"/>
    <w:tmpl w:val="1447F93D"/>
    <w:lvl w:ilvl="0" w:tentative="0">
      <w:start w:val="2"/>
      <w:numFmt w:val="decimal"/>
      <w:suff w:val="nothing"/>
      <w:lvlText w:val="%1、"/>
      <w:lvlJc w:val="left"/>
    </w:lvl>
  </w:abstractNum>
  <w:abstractNum w:abstractNumId="2">
    <w:nsid w:val="7B39953A"/>
    <w:multiLevelType w:val="singleLevel"/>
    <w:tmpl w:val="7B39953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D8"/>
    <w:rsid w:val="000305DE"/>
    <w:rsid w:val="00035BAD"/>
    <w:rsid w:val="000E3FD8"/>
    <w:rsid w:val="001C5C90"/>
    <w:rsid w:val="00313316"/>
    <w:rsid w:val="004D7E05"/>
    <w:rsid w:val="00684922"/>
    <w:rsid w:val="00785823"/>
    <w:rsid w:val="00887938"/>
    <w:rsid w:val="00BA297E"/>
    <w:rsid w:val="00CB6AA0"/>
    <w:rsid w:val="00ED2A8B"/>
    <w:rsid w:val="0E414970"/>
    <w:rsid w:val="0FD10D54"/>
    <w:rsid w:val="12DD14D4"/>
    <w:rsid w:val="17C8049C"/>
    <w:rsid w:val="1D67564A"/>
    <w:rsid w:val="1F9C1D52"/>
    <w:rsid w:val="234A2711"/>
    <w:rsid w:val="28DB7ADB"/>
    <w:rsid w:val="2ABA0EB3"/>
    <w:rsid w:val="2C411543"/>
    <w:rsid w:val="32FF18F6"/>
    <w:rsid w:val="34E76A1F"/>
    <w:rsid w:val="352126E8"/>
    <w:rsid w:val="36376B29"/>
    <w:rsid w:val="3A1D26AE"/>
    <w:rsid w:val="3D0E6C21"/>
    <w:rsid w:val="3EA05CA8"/>
    <w:rsid w:val="3EB67BD4"/>
    <w:rsid w:val="493F1D65"/>
    <w:rsid w:val="4BDA27BE"/>
    <w:rsid w:val="4C91436D"/>
    <w:rsid w:val="4EFF1952"/>
    <w:rsid w:val="4FF3355F"/>
    <w:rsid w:val="51CA2296"/>
    <w:rsid w:val="579C49E3"/>
    <w:rsid w:val="5C1827FD"/>
    <w:rsid w:val="64C57F67"/>
    <w:rsid w:val="64DF7231"/>
    <w:rsid w:val="700F043E"/>
    <w:rsid w:val="77F1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widowControl w:val="0"/>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color w:val="auto"/>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Times New Roman" w:hAnsi="Times New Roman"/>
      <w:kern w:val="2"/>
      <w:sz w:val="21"/>
      <w:szCs w:val="24"/>
    </w:rPr>
  </w:style>
  <w:style w:type="paragraph" w:styleId="5">
    <w:name w:val="Body Text Indent"/>
    <w:basedOn w:val="1"/>
    <w:unhideWhenUsed/>
    <w:qFormat/>
    <w:uiPriority w:val="0"/>
    <w:pPr>
      <w:spacing w:line="460" w:lineRule="exact"/>
      <w:ind w:firstLine="51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144</Words>
  <Characters>827</Characters>
  <Lines>6</Lines>
  <Paragraphs>1</Paragraphs>
  <TotalTime>1</TotalTime>
  <ScaleCrop>false</ScaleCrop>
  <LinksUpToDate>false</LinksUpToDate>
  <CharactersWithSpaces>970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2017-10-25T01:07:00Z</dcterms:created>
  <dc:creator>杨天武</dc:creator>
  <cp:lastModifiedBy>Z·X</cp:lastModifiedBy>
  <cp:lastPrinted>2020-08-05T00:52:00Z</cp:lastPrinted>
  <dcterms:modified xsi:type="dcterms:W3CDTF">2020-08-05T05:47:44Z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